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A18" w:rsidRPr="00B67EA4" w:rsidRDefault="00FD39C6" w:rsidP="006C0E45">
      <w:pPr>
        <w:pStyle w:val="1"/>
        <w:overflowPunct w:val="0"/>
        <w:autoSpaceDE/>
        <w:autoSpaceDN/>
        <w:spacing w:beforeLines="100" w:afterLines="100"/>
        <w:ind w:left="0"/>
        <w:jc w:val="center"/>
        <w:rPr>
          <w:b w:val="0"/>
          <w:bCs w:val="0"/>
        </w:rPr>
      </w:pPr>
      <w:r w:rsidRPr="00B67EA4">
        <w:rPr>
          <w:rFonts w:hAnsi="新細明體"/>
        </w:rPr>
        <w:t>第</w:t>
      </w:r>
      <w:r w:rsidRPr="00B67EA4">
        <w:t>10</w:t>
      </w:r>
      <w:r w:rsidRPr="00B67EA4">
        <w:rPr>
          <w:rFonts w:hAnsi="新細明體"/>
        </w:rPr>
        <w:t>章</w:t>
      </w:r>
    </w:p>
    <w:p w:rsidR="00534A18" w:rsidRPr="00B67EA4" w:rsidRDefault="00FD39C6" w:rsidP="006C0E45">
      <w:pPr>
        <w:overflowPunct w:val="0"/>
        <w:adjustRightInd w:val="0"/>
        <w:spacing w:beforeLines="100" w:afterLines="100"/>
        <w:jc w:val="center"/>
        <w:rPr>
          <w:rFonts w:ascii="Times New Roman" w:eastAsia="新細明體" w:hAnsi="Times New Roman" w:cs="Times New Roman"/>
          <w:b/>
          <w:bCs/>
        </w:rPr>
      </w:pPr>
      <w:r w:rsidRPr="00B67EA4">
        <w:rPr>
          <w:rFonts w:ascii="Times New Roman" w:eastAsia="新細明體" w:hAnsi="新細明體" w:cs="Times New Roman"/>
          <w:b/>
          <w:bCs/>
        </w:rPr>
        <w:t>海運貨物</w:t>
      </w:r>
    </w:p>
    <w:p w:rsidR="00534A18" w:rsidRPr="00B67EA4" w:rsidRDefault="00534A18" w:rsidP="006C0E45">
      <w:pPr>
        <w:overflowPunct w:val="0"/>
        <w:adjustRightInd w:val="0"/>
        <w:spacing w:beforeLines="100" w:afterLines="100"/>
        <w:jc w:val="both"/>
        <w:rPr>
          <w:rFonts w:ascii="Times New Roman" w:eastAsia="新細明體" w:hAnsi="Times New Roman" w:cs="Times New Roman"/>
        </w:rPr>
      </w:pPr>
    </w:p>
    <w:p w:rsidR="00534A18" w:rsidRPr="00B67EA4" w:rsidRDefault="00483DBD" w:rsidP="006C0E45">
      <w:pPr>
        <w:overflowPunct w:val="0"/>
        <w:adjustRightInd w:val="0"/>
        <w:spacing w:beforeLines="100" w:afterLines="100"/>
        <w:jc w:val="both"/>
        <w:rPr>
          <w:rFonts w:ascii="Times New Roman" w:eastAsia="新細明體" w:hAnsi="Times New Roman" w:cs="Times New Roman"/>
        </w:rPr>
      </w:pPr>
      <w:r w:rsidRPr="00B67EA4">
        <w:rPr>
          <w:rFonts w:ascii="Times New Roman" w:eastAsia="新細明體" w:hAnsi="新細明體" w:cs="Times New Roman"/>
          <w:b/>
          <w:bCs/>
        </w:rPr>
        <w:t>節</w:t>
      </w:r>
      <w:r w:rsidR="00FD39C6" w:rsidRPr="00B67EA4">
        <w:rPr>
          <w:rFonts w:ascii="Times New Roman" w:eastAsia="新細明體" w:hAnsi="新細明體" w:cs="Times New Roman"/>
          <w:b/>
          <w:bCs/>
        </w:rPr>
        <w:t>次</w:t>
      </w:r>
    </w:p>
    <w:p w:rsidR="00534A18" w:rsidRPr="00B67EA4" w:rsidRDefault="00FD39C6" w:rsidP="006C0E45">
      <w:pPr>
        <w:overflowPunct w:val="0"/>
        <w:adjustRightInd w:val="0"/>
        <w:spacing w:beforeLines="100" w:afterLines="100"/>
        <w:ind w:left="964" w:hanging="964"/>
        <w:jc w:val="both"/>
        <w:rPr>
          <w:rFonts w:ascii="Times New Roman" w:eastAsia="新細明體" w:hAnsi="Times New Roman" w:cs="Times New Roman"/>
        </w:rPr>
      </w:pPr>
      <w:r w:rsidRPr="00B67EA4">
        <w:rPr>
          <w:rFonts w:ascii="Times New Roman" w:eastAsia="新細明體" w:hAnsi="Times New Roman" w:cs="Times New Roman"/>
          <w:b/>
          <w:bCs/>
        </w:rPr>
        <w:t>§ 1001.</w:t>
      </w:r>
      <w:r w:rsidRPr="00B67EA4">
        <w:rPr>
          <w:rFonts w:ascii="Times New Roman" w:eastAsia="新細明體" w:hAnsi="Times New Roman" w:cs="Times New Roman"/>
          <w:b/>
          <w:bCs/>
        </w:rPr>
        <w:tab/>
      </w:r>
      <w:r w:rsidR="001024AB" w:rsidRPr="00B67EA4">
        <w:rPr>
          <w:rFonts w:ascii="Times New Roman" w:eastAsia="新細明體" w:hAnsi="新細明體" w:cs="Times New Roman"/>
          <w:b/>
          <w:bCs/>
        </w:rPr>
        <w:t>適</w:t>
      </w:r>
      <w:r w:rsidRPr="00B67EA4">
        <w:rPr>
          <w:rFonts w:ascii="Times New Roman" w:eastAsia="新細明體" w:hAnsi="新細明體" w:cs="Times New Roman"/>
          <w:b/>
          <w:bCs/>
        </w:rPr>
        <w:t>用。</w:t>
      </w:r>
    </w:p>
    <w:p w:rsidR="00000000" w:rsidRPr="00B67EA4" w:rsidRDefault="00FD39C6" w:rsidP="006C0E45">
      <w:pPr>
        <w:overflowPunct w:val="0"/>
        <w:adjustRightInd w:val="0"/>
        <w:spacing w:beforeLines="100" w:afterLines="100"/>
        <w:ind w:left="964" w:hanging="964"/>
        <w:jc w:val="both"/>
        <w:rPr>
          <w:rFonts w:ascii="Times New Roman" w:eastAsia="新細明體" w:hAnsi="Times New Roman" w:cs="Times New Roman"/>
        </w:rPr>
      </w:pPr>
      <w:r w:rsidRPr="00B67EA4">
        <w:rPr>
          <w:rFonts w:ascii="Times New Roman" w:eastAsia="新細明體" w:hAnsi="Times New Roman" w:cs="Times New Roman"/>
          <w:b/>
          <w:bCs/>
        </w:rPr>
        <w:t>§ 1002.</w:t>
      </w:r>
      <w:r w:rsidRPr="00B67EA4">
        <w:rPr>
          <w:rFonts w:ascii="Times New Roman" w:eastAsia="新細明體" w:hAnsi="Times New Roman" w:cs="Times New Roman"/>
          <w:b/>
          <w:bCs/>
        </w:rPr>
        <w:tab/>
      </w:r>
      <w:r w:rsidRPr="00B67EA4">
        <w:rPr>
          <w:rFonts w:ascii="Times New Roman" w:eastAsia="新細明體" w:hAnsi="新細明體" w:cs="Times New Roman"/>
          <w:b/>
          <w:bCs/>
        </w:rPr>
        <w:t>海運貨物規定。</w:t>
      </w:r>
    </w:p>
    <w:p w:rsidR="00534A18" w:rsidRPr="00B67EA4" w:rsidRDefault="00FD39C6" w:rsidP="006C0E45">
      <w:pPr>
        <w:overflowPunct w:val="0"/>
        <w:adjustRightInd w:val="0"/>
        <w:spacing w:beforeLines="100" w:afterLines="100"/>
        <w:ind w:left="964" w:hanging="964"/>
        <w:jc w:val="both"/>
        <w:rPr>
          <w:rFonts w:ascii="Times New Roman" w:eastAsia="新細明體" w:hAnsi="Times New Roman" w:cs="Times New Roman"/>
        </w:rPr>
      </w:pPr>
      <w:r w:rsidRPr="00B67EA4">
        <w:rPr>
          <w:rFonts w:ascii="Times New Roman" w:eastAsia="新細明體" w:hAnsi="Times New Roman" w:cs="Times New Roman"/>
          <w:b/>
          <w:bCs/>
        </w:rPr>
        <w:t>§ 1003.</w:t>
      </w:r>
      <w:r w:rsidRPr="00B67EA4">
        <w:rPr>
          <w:rFonts w:ascii="Times New Roman" w:eastAsia="新細明體" w:hAnsi="Times New Roman" w:cs="Times New Roman"/>
          <w:b/>
          <w:bCs/>
        </w:rPr>
        <w:tab/>
      </w:r>
      <w:r w:rsidRPr="00B67EA4">
        <w:rPr>
          <w:rFonts w:ascii="Times New Roman" w:eastAsia="新細明體" w:hAnsi="新細明體" w:cs="Times New Roman"/>
          <w:b/>
          <w:bCs/>
        </w:rPr>
        <w:t>提單。</w:t>
      </w:r>
    </w:p>
    <w:p w:rsidR="00534A18" w:rsidRPr="00B67EA4" w:rsidRDefault="00FD39C6" w:rsidP="006C0E45">
      <w:pPr>
        <w:overflowPunct w:val="0"/>
        <w:adjustRightInd w:val="0"/>
        <w:spacing w:beforeLines="100" w:afterLines="100"/>
        <w:ind w:left="964" w:hanging="964"/>
        <w:jc w:val="both"/>
        <w:rPr>
          <w:rFonts w:ascii="Times New Roman" w:eastAsia="新細明體" w:hAnsi="Times New Roman" w:cs="Times New Roman"/>
        </w:rPr>
      </w:pPr>
      <w:r w:rsidRPr="00B67EA4">
        <w:rPr>
          <w:rFonts w:ascii="Times New Roman" w:eastAsia="新細明體" w:hAnsi="Times New Roman" w:cs="Times New Roman"/>
          <w:b/>
          <w:bCs/>
        </w:rPr>
        <w:t>§ 1004.</w:t>
      </w:r>
      <w:r w:rsidRPr="00B67EA4">
        <w:rPr>
          <w:rFonts w:ascii="Times New Roman" w:eastAsia="新細明體" w:hAnsi="Times New Roman" w:cs="Times New Roman"/>
          <w:b/>
          <w:bCs/>
        </w:rPr>
        <w:tab/>
      </w:r>
      <w:r w:rsidRPr="00B67EA4">
        <w:rPr>
          <w:rFonts w:ascii="Times New Roman" w:eastAsia="新細明體" w:hAnsi="新細明體" w:cs="Times New Roman"/>
          <w:b/>
          <w:bCs/>
        </w:rPr>
        <w:t>最高法院對密克羅尼西亞聯邦境內海運貨物之管轄權。</w:t>
      </w:r>
    </w:p>
    <w:p w:rsidR="00534A18" w:rsidRPr="00B67EA4" w:rsidRDefault="00534A18" w:rsidP="006C0E45">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B67EA4" w:rsidRDefault="00FD39C6" w:rsidP="006C0E45">
      <w:pPr>
        <w:overflowPunct w:val="0"/>
        <w:adjustRightInd w:val="0"/>
        <w:spacing w:beforeLines="100" w:afterLines="100"/>
        <w:jc w:val="both"/>
        <w:rPr>
          <w:rFonts w:ascii="Times New Roman" w:eastAsia="新細明體" w:hAnsi="Times New Roman" w:cs="Times New Roman"/>
          <w:sz w:val="19"/>
          <w:szCs w:val="19"/>
        </w:rPr>
      </w:pPr>
      <w:r w:rsidRPr="00B67EA4">
        <w:rPr>
          <w:rFonts w:ascii="Times New Roman" w:eastAsia="新細明體" w:hAnsi="新細明體" w:cs="Times New Roman"/>
          <w:b/>
          <w:bCs/>
          <w:sz w:val="19"/>
          <w:szCs w:val="19"/>
          <w:u w:val="single"/>
        </w:rPr>
        <w:t>編者按</w:t>
      </w:r>
      <w:r w:rsidRPr="00B67EA4">
        <w:rPr>
          <w:rFonts w:ascii="Times New Roman" w:eastAsia="新細明體" w:hAnsi="新細明體" w:cs="Times New Roman"/>
          <w:b/>
          <w:bCs/>
          <w:sz w:val="19"/>
          <w:szCs w:val="19"/>
        </w:rPr>
        <w:t>：</w:t>
      </w:r>
      <w:r w:rsidRPr="00B67EA4">
        <w:rPr>
          <w:rFonts w:ascii="Times New Roman" w:eastAsia="新細明體" w:hAnsi="新細明體" w:cs="Times New Roman"/>
          <w:sz w:val="19"/>
          <w:szCs w:val="19"/>
        </w:rPr>
        <w:t>本篇第</w:t>
      </w:r>
      <w:r w:rsidRPr="00B67EA4">
        <w:rPr>
          <w:rFonts w:ascii="Times New Roman" w:eastAsia="新細明體" w:hAnsi="Times New Roman" w:cs="Times New Roman"/>
          <w:sz w:val="19"/>
          <w:szCs w:val="19"/>
        </w:rPr>
        <w:t>1</w:t>
      </w:r>
      <w:r w:rsidRPr="00B67EA4">
        <w:rPr>
          <w:rFonts w:ascii="Times New Roman" w:eastAsia="新細明體" w:hAnsi="新細明體" w:cs="Times New Roman"/>
          <w:sz w:val="19"/>
          <w:szCs w:val="19"/>
        </w:rPr>
        <w:t>至</w:t>
      </w:r>
      <w:r w:rsidRPr="00B67EA4">
        <w:rPr>
          <w:rFonts w:ascii="Times New Roman" w:eastAsia="新細明體" w:hAnsi="Times New Roman" w:cs="Times New Roman"/>
          <w:sz w:val="19"/>
          <w:szCs w:val="19"/>
        </w:rPr>
        <w:t>12</w:t>
      </w:r>
      <w:proofErr w:type="gramStart"/>
      <w:r w:rsidRPr="00B67EA4">
        <w:rPr>
          <w:rFonts w:ascii="Times New Roman" w:eastAsia="新細明體" w:hAnsi="新細明體" w:cs="Times New Roman"/>
          <w:sz w:val="19"/>
          <w:szCs w:val="19"/>
        </w:rPr>
        <w:t>章舊條文</w:t>
      </w:r>
      <w:proofErr w:type="gramEnd"/>
      <w:r w:rsidRPr="00B67EA4">
        <w:rPr>
          <w:rFonts w:ascii="Times New Roman" w:eastAsia="新細明體" w:hAnsi="新細明體" w:cs="Times New Roman"/>
          <w:sz w:val="19"/>
          <w:szCs w:val="19"/>
        </w:rPr>
        <w:t>依</w:t>
      </w:r>
      <w:r w:rsidRPr="00B67EA4">
        <w:rPr>
          <w:rFonts w:ascii="Times New Roman" w:eastAsia="新細明體" w:hAnsi="Times New Roman" w:cs="Times New Roman"/>
          <w:sz w:val="19"/>
          <w:szCs w:val="19"/>
        </w:rPr>
        <w:t xml:space="preserve"> PL 10-76 § 1 </w:t>
      </w:r>
      <w:r w:rsidRPr="00B67EA4">
        <w:rPr>
          <w:rFonts w:ascii="Times New Roman" w:eastAsia="新細明體" w:hAnsi="新細明體" w:cs="Times New Roman"/>
          <w:sz w:val="19"/>
          <w:szCs w:val="19"/>
        </w:rPr>
        <w:t>全部廢</w:t>
      </w:r>
      <w:r w:rsidR="00964E71" w:rsidRPr="00B67EA4">
        <w:rPr>
          <w:rFonts w:ascii="Times New Roman" w:eastAsia="新細明體" w:hAnsi="新細明體" w:cs="Times New Roman"/>
          <w:sz w:val="19"/>
          <w:szCs w:val="19"/>
        </w:rPr>
        <w:t>止</w:t>
      </w:r>
      <w:r w:rsidRPr="00B67EA4">
        <w:rPr>
          <w:rFonts w:ascii="Times New Roman" w:eastAsia="新細明體" w:hAnsi="新細明體" w:cs="Times New Roman"/>
          <w:sz w:val="19"/>
          <w:szCs w:val="19"/>
        </w:rPr>
        <w:t>，並以編入本篇第</w:t>
      </w:r>
      <w:r w:rsidRPr="00B67EA4">
        <w:rPr>
          <w:rFonts w:ascii="Times New Roman" w:eastAsia="新細明體" w:hAnsi="Times New Roman" w:cs="Times New Roman"/>
          <w:sz w:val="19"/>
          <w:szCs w:val="19"/>
        </w:rPr>
        <w:t>1</w:t>
      </w:r>
      <w:r w:rsidRPr="00B67EA4">
        <w:rPr>
          <w:rFonts w:ascii="Times New Roman" w:eastAsia="新細明體" w:hAnsi="新細明體" w:cs="Times New Roman"/>
          <w:sz w:val="19"/>
          <w:szCs w:val="19"/>
        </w:rPr>
        <w:t>至</w:t>
      </w:r>
      <w:r w:rsidRPr="00B67EA4">
        <w:rPr>
          <w:rFonts w:ascii="Times New Roman" w:eastAsia="新細明體" w:hAnsi="Times New Roman" w:cs="Times New Roman"/>
          <w:sz w:val="19"/>
          <w:szCs w:val="19"/>
        </w:rPr>
        <w:t>13</w:t>
      </w:r>
      <w:r w:rsidRPr="00B67EA4">
        <w:rPr>
          <w:rFonts w:ascii="Times New Roman" w:eastAsia="新細明體" w:hAnsi="新細明體" w:cs="Times New Roman"/>
          <w:sz w:val="19"/>
          <w:szCs w:val="19"/>
        </w:rPr>
        <w:t>章的</w:t>
      </w:r>
      <w:r w:rsidRPr="00B67EA4">
        <w:rPr>
          <w:rFonts w:ascii="Times New Roman" w:eastAsia="新細明體" w:hAnsi="Times New Roman" w:cs="Times New Roman"/>
          <w:sz w:val="19"/>
          <w:szCs w:val="19"/>
        </w:rPr>
        <w:t xml:space="preserve"> PL 10-76</w:t>
      </w:r>
      <w:r w:rsidRPr="00B67EA4">
        <w:rPr>
          <w:rFonts w:ascii="Times New Roman" w:eastAsia="新細明體" w:hAnsi="新細明體" w:cs="Times New Roman"/>
          <w:sz w:val="19"/>
          <w:szCs w:val="19"/>
        </w:rPr>
        <w:t>「</w:t>
      </w:r>
      <w:r w:rsidRPr="00B67EA4">
        <w:rPr>
          <w:rFonts w:ascii="Times New Roman" w:eastAsia="新細明體" w:hAnsi="Times New Roman" w:cs="Times New Roman"/>
          <w:sz w:val="19"/>
          <w:szCs w:val="19"/>
        </w:rPr>
        <w:t>1997</w:t>
      </w:r>
      <w:r w:rsidRPr="00B67EA4">
        <w:rPr>
          <w:rFonts w:ascii="Times New Roman" w:eastAsia="新細明體" w:hAnsi="新細明體" w:cs="Times New Roman"/>
          <w:sz w:val="19"/>
          <w:szCs w:val="19"/>
        </w:rPr>
        <w:t>年</w:t>
      </w:r>
      <w:r w:rsidR="00BF3973" w:rsidRPr="00B67EA4">
        <w:rPr>
          <w:rFonts w:ascii="Times New Roman" w:eastAsia="新細明體" w:hAnsi="新細明體" w:cs="Times New Roman"/>
          <w:sz w:val="19"/>
          <w:szCs w:val="19"/>
        </w:rPr>
        <w:t>全國海商法</w:t>
      </w:r>
      <w:r w:rsidRPr="00B67EA4">
        <w:rPr>
          <w:rFonts w:ascii="Times New Roman" w:eastAsia="新細明體" w:hAnsi="新細明體" w:cs="Times New Roman"/>
          <w:sz w:val="19"/>
          <w:szCs w:val="19"/>
        </w:rPr>
        <w:t>」條文取代。</w:t>
      </w:r>
      <w:r w:rsidRPr="00B67EA4">
        <w:rPr>
          <w:rFonts w:ascii="Times New Roman" w:eastAsia="新細明體" w:hAnsi="Times New Roman" w:cs="Times New Roman"/>
          <w:sz w:val="19"/>
          <w:szCs w:val="19"/>
        </w:rPr>
        <w:t xml:space="preserve">PL 10-76 </w:t>
      </w:r>
      <w:r w:rsidRPr="00B67EA4">
        <w:rPr>
          <w:rFonts w:ascii="Times New Roman" w:eastAsia="新細明體" w:hAnsi="新細明體" w:cs="Times New Roman"/>
          <w:sz w:val="19"/>
          <w:szCs w:val="19"/>
        </w:rPr>
        <w:t>於</w:t>
      </w:r>
      <w:r w:rsidRPr="00B67EA4">
        <w:rPr>
          <w:rFonts w:ascii="Times New Roman" w:eastAsia="新細明體" w:hAnsi="Times New Roman" w:cs="Times New Roman"/>
          <w:sz w:val="19"/>
          <w:szCs w:val="19"/>
        </w:rPr>
        <w:t>1998</w:t>
      </w:r>
      <w:r w:rsidRPr="00B67EA4">
        <w:rPr>
          <w:rFonts w:ascii="Times New Roman" w:eastAsia="新細明體" w:hAnsi="新細明體" w:cs="Times New Roman"/>
          <w:sz w:val="19"/>
          <w:szCs w:val="19"/>
        </w:rPr>
        <w:t>年</w:t>
      </w:r>
      <w:r w:rsidRPr="00B67EA4">
        <w:rPr>
          <w:rFonts w:ascii="Times New Roman" w:eastAsia="新細明體" w:hAnsi="Times New Roman" w:cs="Times New Roman"/>
          <w:sz w:val="19"/>
          <w:szCs w:val="19"/>
        </w:rPr>
        <w:t>4</w:t>
      </w:r>
      <w:r w:rsidRPr="00B67EA4">
        <w:rPr>
          <w:rFonts w:ascii="Times New Roman" w:eastAsia="新細明體" w:hAnsi="新細明體" w:cs="Times New Roman"/>
          <w:sz w:val="19"/>
          <w:szCs w:val="19"/>
        </w:rPr>
        <w:t>月</w:t>
      </w:r>
      <w:r w:rsidRPr="00B67EA4">
        <w:rPr>
          <w:rFonts w:ascii="Times New Roman" w:eastAsia="新細明體" w:hAnsi="Times New Roman" w:cs="Times New Roman"/>
          <w:sz w:val="19"/>
          <w:szCs w:val="19"/>
        </w:rPr>
        <w:t>1</w:t>
      </w:r>
      <w:r w:rsidRPr="00B67EA4">
        <w:rPr>
          <w:rFonts w:ascii="Times New Roman" w:eastAsia="新細明體" w:hAnsi="新細明體" w:cs="Times New Roman"/>
          <w:sz w:val="19"/>
          <w:szCs w:val="19"/>
        </w:rPr>
        <w:t>日生效。</w:t>
      </w:r>
    </w:p>
    <w:p w:rsidR="00534A18" w:rsidRPr="00B67EA4" w:rsidRDefault="00534A18" w:rsidP="006C0E45">
      <w:pPr>
        <w:overflowPunct w:val="0"/>
        <w:adjustRightInd w:val="0"/>
        <w:spacing w:beforeLines="100" w:afterLines="100"/>
        <w:jc w:val="both"/>
        <w:rPr>
          <w:rFonts w:ascii="Times New Roman" w:eastAsia="新細明體" w:hAnsi="Times New Roman" w:cs="Times New Roman"/>
          <w:sz w:val="19"/>
          <w:szCs w:val="19"/>
        </w:rPr>
      </w:pPr>
    </w:p>
    <w:p w:rsidR="00534A18" w:rsidRPr="00B67EA4" w:rsidRDefault="00FD39C6" w:rsidP="006C0E45">
      <w:pPr>
        <w:pStyle w:val="1"/>
        <w:overflowPunct w:val="0"/>
        <w:autoSpaceDE/>
        <w:autoSpaceDN/>
        <w:spacing w:beforeLines="100" w:afterLines="100"/>
        <w:ind w:left="482"/>
        <w:jc w:val="both"/>
        <w:rPr>
          <w:b w:val="0"/>
          <w:bCs w:val="0"/>
        </w:rPr>
      </w:pPr>
      <w:r w:rsidRPr="00B67EA4">
        <w:rPr>
          <w:u w:val="single"/>
        </w:rPr>
        <w:t>§ 1001.</w:t>
      </w:r>
      <w:r w:rsidR="001024AB" w:rsidRPr="00B67EA4">
        <w:rPr>
          <w:rFonts w:hAnsi="新細明體"/>
          <w:u w:val="single"/>
        </w:rPr>
        <w:t>適</w:t>
      </w:r>
      <w:r w:rsidRPr="00B67EA4">
        <w:rPr>
          <w:rFonts w:hAnsi="新細明體"/>
          <w:u w:val="single"/>
        </w:rPr>
        <w:t>用。</w:t>
      </w:r>
    </w:p>
    <w:p w:rsidR="00534A18" w:rsidRPr="00B67EA4" w:rsidRDefault="00FD39C6" w:rsidP="006C0E45">
      <w:pPr>
        <w:overflowPunct w:val="0"/>
        <w:adjustRightInd w:val="0"/>
        <w:spacing w:beforeLines="100" w:afterLines="100"/>
        <w:ind w:firstLine="482"/>
        <w:jc w:val="both"/>
        <w:outlineLvl w:val="0"/>
        <w:rPr>
          <w:rFonts w:ascii="Times New Roman" w:eastAsia="新細明體" w:hAnsi="Times New Roman" w:cs="Times New Roman"/>
        </w:rPr>
      </w:pPr>
      <w:r w:rsidRPr="00B67EA4">
        <w:rPr>
          <w:rFonts w:ascii="Times New Roman" w:eastAsia="新細明體" w:hAnsi="新細明體" w:cs="Times New Roman"/>
        </w:rPr>
        <w:t>本章適用於下列所有海運貨物：</w:t>
      </w:r>
    </w:p>
    <w:p w:rsidR="00534A18" w:rsidRPr="00B67EA4" w:rsidRDefault="00FD39C6" w:rsidP="006C0E45">
      <w:pPr>
        <w:numPr>
          <w:ilvl w:val="0"/>
          <w:numId w:val="5"/>
        </w:numPr>
        <w:overflowPunct w:val="0"/>
        <w:adjustRightInd w:val="0"/>
        <w:spacing w:beforeLines="100" w:afterLines="100"/>
        <w:ind w:left="0" w:firstLine="482"/>
        <w:jc w:val="both"/>
        <w:outlineLvl w:val="0"/>
        <w:rPr>
          <w:rFonts w:ascii="Times New Roman" w:eastAsia="新細明體" w:hAnsi="Times New Roman" w:cs="Times New Roman"/>
        </w:rPr>
      </w:pPr>
      <w:r w:rsidRPr="00B67EA4">
        <w:rPr>
          <w:rFonts w:ascii="Times New Roman" w:eastAsia="新細明體" w:hAnsi="新細明體" w:cs="Times New Roman"/>
        </w:rPr>
        <w:t>於密克羅尼西亞聯邦境內不同港口之間運送者；或</w:t>
      </w:r>
    </w:p>
    <w:p w:rsidR="00534A18" w:rsidRPr="00B67EA4" w:rsidRDefault="00FD39C6" w:rsidP="006C0E45">
      <w:pPr>
        <w:numPr>
          <w:ilvl w:val="0"/>
          <w:numId w:val="5"/>
        </w:numPr>
        <w:overflowPunct w:val="0"/>
        <w:adjustRightInd w:val="0"/>
        <w:spacing w:beforeLines="100" w:afterLines="100"/>
        <w:ind w:left="0" w:firstLine="482"/>
        <w:jc w:val="both"/>
        <w:outlineLvl w:val="0"/>
        <w:rPr>
          <w:rFonts w:ascii="Times New Roman" w:eastAsia="新細明體" w:hAnsi="Times New Roman" w:cs="Times New Roman"/>
        </w:rPr>
      </w:pPr>
      <w:r w:rsidRPr="00B67EA4">
        <w:rPr>
          <w:rFonts w:ascii="Times New Roman" w:eastAsia="新細明體" w:hAnsi="新細明體" w:cs="Times New Roman"/>
        </w:rPr>
        <w:t>依下列提單運送到密克羅尼西亞聯邦者：</w:t>
      </w:r>
    </w:p>
    <w:p w:rsidR="00534A18" w:rsidRPr="00B67EA4" w:rsidRDefault="00FD39C6" w:rsidP="006C0E45">
      <w:pPr>
        <w:numPr>
          <w:ilvl w:val="1"/>
          <w:numId w:val="5"/>
        </w:numPr>
        <w:overflowPunct w:val="0"/>
        <w:adjustRightInd w:val="0"/>
        <w:spacing w:beforeLines="100" w:afterLines="100"/>
        <w:ind w:left="482" w:firstLine="482"/>
        <w:jc w:val="both"/>
        <w:outlineLvl w:val="0"/>
        <w:rPr>
          <w:rFonts w:ascii="Times New Roman" w:eastAsia="新細明體" w:hAnsi="Times New Roman" w:cs="Times New Roman"/>
        </w:rPr>
      </w:pPr>
      <w:r w:rsidRPr="00B67EA4">
        <w:rPr>
          <w:rFonts w:ascii="Times New Roman" w:eastAsia="新細明體" w:hAnsi="新細明體" w:cs="Times New Roman"/>
        </w:rPr>
        <w:t>於海牙威士比規則之</w:t>
      </w:r>
      <w:r w:rsidR="00D10FCE" w:rsidRPr="00B67EA4">
        <w:rPr>
          <w:rFonts w:ascii="Times New Roman" w:eastAsia="新細明體" w:hAnsi="新細明體" w:cs="Times New Roman"/>
        </w:rPr>
        <w:t>簽署</w:t>
      </w:r>
      <w:r w:rsidR="00534A18" w:rsidRPr="00B67EA4">
        <w:rPr>
          <w:rFonts w:ascii="Times New Roman" w:eastAsia="新細明體" w:hAnsi="新細明體" w:cs="Times New Roman"/>
        </w:rPr>
        <w:t>國核發者；</w:t>
      </w:r>
    </w:p>
    <w:p w:rsidR="00534A18" w:rsidRPr="00B67EA4" w:rsidRDefault="00534A18" w:rsidP="006C0E45">
      <w:pPr>
        <w:numPr>
          <w:ilvl w:val="1"/>
          <w:numId w:val="5"/>
        </w:numPr>
        <w:overflowPunct w:val="0"/>
        <w:adjustRightInd w:val="0"/>
        <w:spacing w:beforeLines="100" w:afterLines="100"/>
        <w:ind w:left="482" w:firstLine="482"/>
        <w:jc w:val="both"/>
        <w:outlineLvl w:val="0"/>
        <w:rPr>
          <w:rFonts w:ascii="Times New Roman" w:eastAsia="新細明體" w:hAnsi="Times New Roman" w:cs="Times New Roman"/>
        </w:rPr>
      </w:pPr>
      <w:r w:rsidRPr="00B67EA4">
        <w:rPr>
          <w:rFonts w:ascii="Times New Roman" w:eastAsia="新細明體" w:hAnsi="新細明體" w:cs="Times New Roman"/>
        </w:rPr>
        <w:t>於海牙威士比規則之簽署國境內港口核發者；</w:t>
      </w:r>
    </w:p>
    <w:p w:rsidR="00534A18" w:rsidRPr="00B67EA4" w:rsidRDefault="00534A18" w:rsidP="006C0E45">
      <w:pPr>
        <w:numPr>
          <w:ilvl w:val="0"/>
          <w:numId w:val="5"/>
        </w:numPr>
        <w:overflowPunct w:val="0"/>
        <w:adjustRightInd w:val="0"/>
        <w:spacing w:beforeLines="100" w:afterLines="100"/>
        <w:ind w:left="0" w:firstLine="482"/>
        <w:jc w:val="both"/>
        <w:outlineLvl w:val="0"/>
        <w:rPr>
          <w:rFonts w:ascii="Times New Roman" w:eastAsia="新細明體" w:hAnsi="Times New Roman" w:cs="Times New Roman"/>
        </w:rPr>
      </w:pPr>
      <w:r w:rsidRPr="00B67EA4">
        <w:rPr>
          <w:rFonts w:ascii="Times New Roman" w:eastAsia="新細明體" w:hAnsi="新細明體" w:cs="Times New Roman"/>
        </w:rPr>
        <w:t>從密克羅尼西亞聯邦運送至海牙威士比規則之簽署國境</w:t>
      </w:r>
      <w:r w:rsidR="00FD39C6" w:rsidRPr="00B67EA4">
        <w:rPr>
          <w:rFonts w:ascii="Times New Roman" w:eastAsia="新細明體" w:hAnsi="新細明體" w:cs="Times New Roman"/>
        </w:rPr>
        <w:t>內港口者；</w:t>
      </w:r>
      <w:r w:rsidR="00AE4034" w:rsidRPr="00B67EA4">
        <w:rPr>
          <w:rFonts w:ascii="Times New Roman" w:eastAsia="新細明體" w:hAnsi="新細明體" w:cs="Times New Roman"/>
        </w:rPr>
        <w:t>或</w:t>
      </w:r>
    </w:p>
    <w:p w:rsidR="00534A18" w:rsidRPr="00B67EA4" w:rsidRDefault="00FD39C6" w:rsidP="006C0E45">
      <w:pPr>
        <w:numPr>
          <w:ilvl w:val="0"/>
          <w:numId w:val="5"/>
        </w:numPr>
        <w:overflowPunct w:val="0"/>
        <w:adjustRightInd w:val="0"/>
        <w:spacing w:beforeLines="100" w:afterLines="100"/>
        <w:ind w:left="0" w:firstLine="482"/>
        <w:jc w:val="both"/>
        <w:outlineLvl w:val="0"/>
        <w:rPr>
          <w:rFonts w:ascii="Times New Roman" w:eastAsia="新細明體" w:hAnsi="Times New Roman" w:cs="Times New Roman"/>
        </w:rPr>
      </w:pPr>
      <w:r w:rsidRPr="00B67EA4">
        <w:rPr>
          <w:rFonts w:ascii="Times New Roman" w:eastAsia="新細明體" w:hAnsi="新細明體" w:cs="Times New Roman"/>
        </w:rPr>
        <w:t>依</w:t>
      </w:r>
      <w:r w:rsidR="00964E71" w:rsidRPr="00B67EA4">
        <w:rPr>
          <w:rFonts w:ascii="Times New Roman" w:eastAsia="新細明體" w:hAnsi="新細明體" w:cs="Times New Roman"/>
        </w:rPr>
        <w:t>聲明</w:t>
      </w:r>
      <w:r w:rsidRPr="00B67EA4">
        <w:rPr>
          <w:rFonts w:ascii="Times New Roman" w:eastAsia="新細明體" w:hAnsi="新細明體" w:cs="Times New Roman"/>
        </w:rPr>
        <w:t>受海牙威士比規則規範之契約運送者。</w:t>
      </w:r>
    </w:p>
    <w:p w:rsidR="00534A18" w:rsidRPr="00B67EA4" w:rsidRDefault="00534A18" w:rsidP="006C0E45">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534A18" w:rsidRPr="00B67EA4" w:rsidRDefault="00FD39C6" w:rsidP="006C0E45">
      <w:pPr>
        <w:overflowPunct w:val="0"/>
        <w:adjustRightInd w:val="0"/>
        <w:spacing w:beforeLines="100" w:afterLines="100"/>
        <w:ind w:left="482"/>
        <w:jc w:val="both"/>
        <w:outlineLvl w:val="0"/>
        <w:rPr>
          <w:rFonts w:ascii="Times New Roman" w:eastAsia="新細明體" w:hAnsi="Times New Roman" w:cs="Times New Roman"/>
          <w:sz w:val="19"/>
          <w:szCs w:val="19"/>
        </w:rPr>
      </w:pPr>
      <w:r w:rsidRPr="00B67EA4">
        <w:rPr>
          <w:rFonts w:ascii="Times New Roman" w:eastAsia="新細明體" w:hAnsi="新細明體" w:cs="Times New Roman"/>
          <w:b/>
          <w:bCs/>
          <w:sz w:val="19"/>
          <w:szCs w:val="19"/>
          <w:u w:val="single"/>
        </w:rPr>
        <w:t>資料來源</w:t>
      </w:r>
      <w:r w:rsidRPr="00B67EA4">
        <w:rPr>
          <w:rFonts w:ascii="Times New Roman" w:eastAsia="新細明體" w:hAnsi="新細明體" w:cs="Times New Roman"/>
          <w:b/>
          <w:bCs/>
          <w:sz w:val="19"/>
          <w:szCs w:val="19"/>
        </w:rPr>
        <w:t>：</w:t>
      </w:r>
      <w:proofErr w:type="gramStart"/>
      <w:r w:rsidRPr="00B67EA4">
        <w:rPr>
          <w:rFonts w:ascii="Times New Roman" w:eastAsia="新細明體" w:hAnsi="Times New Roman" w:cs="Times New Roman"/>
          <w:sz w:val="19"/>
          <w:szCs w:val="19"/>
        </w:rPr>
        <w:t>PL 10-76 § 204.</w:t>
      </w:r>
      <w:proofErr w:type="gramEnd"/>
    </w:p>
    <w:p w:rsidR="00534A18" w:rsidRPr="00B67EA4" w:rsidRDefault="00534A18" w:rsidP="006C0E45">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534A18" w:rsidRPr="00B67EA4" w:rsidRDefault="00FD39C6" w:rsidP="006C0E45">
      <w:pPr>
        <w:overflowPunct w:val="0"/>
        <w:adjustRightInd w:val="0"/>
        <w:spacing w:beforeLines="100" w:afterLines="100"/>
        <w:ind w:left="482"/>
        <w:jc w:val="both"/>
        <w:outlineLvl w:val="0"/>
        <w:rPr>
          <w:rFonts w:ascii="Times New Roman" w:eastAsia="新細明體" w:hAnsi="Times New Roman" w:cs="Times New Roman"/>
          <w:sz w:val="19"/>
          <w:szCs w:val="19"/>
        </w:rPr>
      </w:pPr>
      <w:r w:rsidRPr="00B67EA4">
        <w:rPr>
          <w:rFonts w:ascii="Times New Roman" w:eastAsia="新細明體" w:hAnsi="新細明體" w:cs="Times New Roman"/>
          <w:b/>
          <w:bCs/>
          <w:sz w:val="19"/>
          <w:szCs w:val="19"/>
          <w:u w:val="single"/>
        </w:rPr>
        <w:t>交叉參考資料</w:t>
      </w:r>
      <w:r w:rsidRPr="00B67EA4">
        <w:rPr>
          <w:rFonts w:ascii="Times New Roman" w:eastAsia="新細明體" w:hAnsi="新細明體" w:cs="Times New Roman"/>
          <w:b/>
          <w:bCs/>
          <w:sz w:val="19"/>
          <w:szCs w:val="19"/>
        </w:rPr>
        <w:t>：</w:t>
      </w:r>
      <w:r w:rsidRPr="00B67EA4">
        <w:rPr>
          <w:rFonts w:ascii="Times New Roman" w:eastAsia="新細明體" w:hAnsi="新細明體" w:cs="Times New Roman"/>
          <w:sz w:val="19"/>
          <w:szCs w:val="19"/>
        </w:rPr>
        <w:t>關於總統及行政機關的法律條文，請參閱本法典第</w:t>
      </w:r>
      <w:r w:rsidRPr="00B67EA4">
        <w:rPr>
          <w:rFonts w:ascii="Times New Roman" w:eastAsia="新細明體" w:hAnsi="Times New Roman" w:cs="Times New Roman"/>
          <w:sz w:val="19"/>
          <w:szCs w:val="19"/>
        </w:rPr>
        <w:t>2</w:t>
      </w:r>
      <w:r w:rsidRPr="00B67EA4">
        <w:rPr>
          <w:rFonts w:ascii="Times New Roman" w:eastAsia="新細明體" w:hAnsi="新細明體" w:cs="Times New Roman"/>
          <w:sz w:val="19"/>
          <w:szCs w:val="19"/>
        </w:rPr>
        <w:t>篇。關於密克羅尼西亞聯邦國會的法律條文，請參閱本法典第</w:t>
      </w:r>
      <w:r w:rsidRPr="00B67EA4">
        <w:rPr>
          <w:rFonts w:ascii="Times New Roman" w:eastAsia="新細明體" w:hAnsi="Times New Roman" w:cs="Times New Roman"/>
          <w:sz w:val="19"/>
          <w:szCs w:val="19"/>
        </w:rPr>
        <w:t>3</w:t>
      </w:r>
      <w:r w:rsidRPr="00B67EA4">
        <w:rPr>
          <w:rFonts w:ascii="Times New Roman" w:eastAsia="新細明體" w:hAnsi="新細明體" w:cs="Times New Roman"/>
          <w:sz w:val="19"/>
          <w:szCs w:val="19"/>
        </w:rPr>
        <w:t>篇。關於密克羅尼西亞聯邦最高法院及司法機關的法律條文，請參閱本法典第</w:t>
      </w:r>
      <w:r w:rsidRPr="00B67EA4">
        <w:rPr>
          <w:rFonts w:ascii="Times New Roman" w:eastAsia="新細明體" w:hAnsi="Times New Roman" w:cs="Times New Roman"/>
          <w:sz w:val="19"/>
          <w:szCs w:val="19"/>
        </w:rPr>
        <w:t>4</w:t>
      </w:r>
      <w:r w:rsidRPr="00B67EA4">
        <w:rPr>
          <w:rFonts w:ascii="Times New Roman" w:eastAsia="新細明體" w:hAnsi="新細明體" w:cs="Times New Roman"/>
          <w:sz w:val="19"/>
          <w:szCs w:val="19"/>
        </w:rPr>
        <w:t>篇。</w:t>
      </w:r>
    </w:p>
    <w:p w:rsidR="00534A18" w:rsidRPr="00B67EA4" w:rsidRDefault="00FD39C6" w:rsidP="006C0E45">
      <w:pPr>
        <w:overflowPunct w:val="0"/>
        <w:adjustRightInd w:val="0"/>
        <w:spacing w:beforeLines="100" w:afterLines="100"/>
        <w:ind w:left="482"/>
        <w:jc w:val="both"/>
        <w:outlineLvl w:val="0"/>
        <w:rPr>
          <w:rFonts w:ascii="Times New Roman" w:eastAsia="新細明體" w:hAnsi="Times New Roman" w:cs="Times New Roman"/>
          <w:sz w:val="19"/>
          <w:szCs w:val="19"/>
        </w:rPr>
      </w:pPr>
      <w:r w:rsidRPr="00B67EA4">
        <w:rPr>
          <w:rFonts w:ascii="Times New Roman" w:eastAsia="新細明體" w:hAnsi="新細明體" w:cs="Times New Roman"/>
          <w:sz w:val="19"/>
          <w:szCs w:val="19"/>
        </w:rPr>
        <w:t>密克羅尼西亞聯邦國家政府網站位址：</w:t>
      </w:r>
      <w:r w:rsidRPr="00B67EA4">
        <w:rPr>
          <w:rFonts w:ascii="Times New Roman" w:eastAsia="新細明體" w:hAnsi="Times New Roman" w:cs="Times New Roman"/>
          <w:color w:val="0000FF"/>
          <w:sz w:val="19"/>
          <w:szCs w:val="19"/>
          <w:u w:val="single"/>
        </w:rPr>
        <w:t>http://fsmgov.org</w:t>
      </w:r>
      <w:r w:rsidRPr="00B67EA4">
        <w:rPr>
          <w:rFonts w:ascii="Times New Roman" w:eastAsia="新細明體" w:hAnsi="新細明體" w:cs="Times New Roman"/>
          <w:sz w:val="19"/>
          <w:szCs w:val="19"/>
        </w:rPr>
        <w:t>，其中含有該國家政府的公告、新聞稿、新聞、表格及其他資訊。</w:t>
      </w:r>
    </w:p>
    <w:p w:rsidR="00534A18" w:rsidRPr="00B67EA4" w:rsidRDefault="00FD39C6" w:rsidP="006C0E45">
      <w:pPr>
        <w:overflowPunct w:val="0"/>
        <w:adjustRightInd w:val="0"/>
        <w:spacing w:beforeLines="100" w:afterLines="100"/>
        <w:ind w:left="482"/>
        <w:jc w:val="both"/>
        <w:outlineLvl w:val="0"/>
        <w:rPr>
          <w:rFonts w:ascii="Times New Roman" w:eastAsia="新細明體" w:hAnsi="Times New Roman" w:cs="Times New Roman"/>
          <w:sz w:val="19"/>
          <w:szCs w:val="19"/>
        </w:rPr>
      </w:pPr>
      <w:r w:rsidRPr="00B67EA4">
        <w:rPr>
          <w:rFonts w:ascii="Times New Roman" w:eastAsia="新細明體" w:hAnsi="新細明體" w:cs="Times New Roman"/>
          <w:sz w:val="19"/>
          <w:szCs w:val="19"/>
        </w:rPr>
        <w:t>密克羅尼西亞聯邦最高法院網站位址：</w:t>
      </w:r>
      <w:r w:rsidRPr="00B67EA4">
        <w:rPr>
          <w:rFonts w:ascii="Times New Roman" w:eastAsia="新細明體" w:hAnsi="Times New Roman" w:cs="Times New Roman"/>
          <w:color w:val="0000FF"/>
          <w:sz w:val="19"/>
          <w:szCs w:val="19"/>
          <w:u w:val="single"/>
        </w:rPr>
        <w:t>http://www.fsmsupremecourt.org/</w:t>
      </w:r>
      <w:r w:rsidRPr="00B67EA4">
        <w:rPr>
          <w:rFonts w:ascii="Times New Roman" w:eastAsia="新細明體" w:hAnsi="新細明體" w:cs="Times New Roman"/>
          <w:sz w:val="19"/>
          <w:szCs w:val="19"/>
        </w:rPr>
        <w:t>，其中含有該法院之法院裁定、規則、行事曆及其他資訊、憲法、密克羅尼西亞聯邦法典及其他法律資源資訊。</w:t>
      </w:r>
    </w:p>
    <w:p w:rsidR="00534A18" w:rsidRPr="00B67EA4" w:rsidRDefault="00FD39C6" w:rsidP="006C0E45">
      <w:pPr>
        <w:overflowPunct w:val="0"/>
        <w:adjustRightInd w:val="0"/>
        <w:spacing w:beforeLines="100" w:afterLines="100"/>
        <w:ind w:left="482"/>
        <w:jc w:val="both"/>
        <w:outlineLvl w:val="0"/>
        <w:rPr>
          <w:rFonts w:ascii="Times New Roman" w:eastAsia="新細明體" w:hAnsi="Times New Roman" w:cs="Times New Roman"/>
          <w:sz w:val="19"/>
          <w:szCs w:val="19"/>
        </w:rPr>
      </w:pPr>
      <w:r w:rsidRPr="00B67EA4">
        <w:rPr>
          <w:rFonts w:ascii="Times New Roman" w:eastAsia="新細明體" w:hAnsi="新細明體" w:cs="Times New Roman"/>
          <w:sz w:val="19"/>
          <w:szCs w:val="19"/>
        </w:rPr>
        <w:lastRenderedPageBreak/>
        <w:t>密克羅尼西亞聯邦國會官方網站位址：</w:t>
      </w:r>
      <w:r w:rsidRPr="00B67EA4">
        <w:rPr>
          <w:rFonts w:ascii="Times New Roman" w:eastAsia="新細明體" w:hAnsi="Times New Roman" w:cs="Times New Roman"/>
          <w:color w:val="0000FF"/>
          <w:sz w:val="19"/>
          <w:szCs w:val="19"/>
          <w:u w:val="single"/>
        </w:rPr>
        <w:t>http://www.fsmcongress.fm/</w:t>
      </w:r>
      <w:r w:rsidRPr="00B67EA4">
        <w:rPr>
          <w:rFonts w:ascii="Times New Roman" w:eastAsia="新細明體" w:hAnsi="新細明體" w:cs="Times New Roman"/>
          <w:sz w:val="19"/>
          <w:szCs w:val="19"/>
        </w:rPr>
        <w:t>，其中含有國會頒布的公法、會議、委員會聽證會、規則及其他國會資訊。</w:t>
      </w:r>
    </w:p>
    <w:p w:rsidR="00534A18" w:rsidRPr="00B67EA4" w:rsidRDefault="00534A18" w:rsidP="006C0E45">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000000" w:rsidRPr="00B67EA4" w:rsidRDefault="00FD39C6" w:rsidP="006C0E45">
      <w:pPr>
        <w:pStyle w:val="1"/>
        <w:overflowPunct w:val="0"/>
        <w:autoSpaceDE/>
        <w:autoSpaceDN/>
        <w:spacing w:beforeLines="100" w:afterLines="100"/>
        <w:ind w:left="482"/>
        <w:jc w:val="both"/>
        <w:rPr>
          <w:b w:val="0"/>
          <w:bCs w:val="0"/>
        </w:rPr>
      </w:pPr>
      <w:r w:rsidRPr="00B67EA4">
        <w:rPr>
          <w:u w:val="single"/>
        </w:rPr>
        <w:t>§ 1002.</w:t>
      </w:r>
      <w:r w:rsidRPr="00B67EA4">
        <w:rPr>
          <w:rFonts w:hAnsi="新細明體"/>
          <w:u w:val="single"/>
        </w:rPr>
        <w:t>海運貨物規定。</w:t>
      </w:r>
    </w:p>
    <w:p w:rsidR="00000000" w:rsidRPr="00B67EA4" w:rsidRDefault="00FD39C6" w:rsidP="006C0E45">
      <w:pPr>
        <w:overflowPunct w:val="0"/>
        <w:adjustRightInd w:val="0"/>
        <w:spacing w:beforeLines="100" w:afterLines="100"/>
        <w:ind w:firstLine="482"/>
        <w:jc w:val="both"/>
        <w:outlineLvl w:val="0"/>
        <w:rPr>
          <w:rFonts w:ascii="Times New Roman" w:eastAsia="新細明體" w:hAnsi="Times New Roman" w:cs="Times New Roman"/>
        </w:rPr>
      </w:pPr>
      <w:r w:rsidRPr="00B67EA4">
        <w:rPr>
          <w:rFonts w:ascii="Times New Roman" w:eastAsia="新細明體" w:hAnsi="新細明體" w:cs="Times New Roman"/>
        </w:rPr>
        <w:t>部長</w:t>
      </w:r>
      <w:bookmarkStart w:id="0" w:name="_GoBack"/>
      <w:bookmarkEnd w:id="0"/>
      <w:r w:rsidR="001024AB" w:rsidRPr="00B67EA4">
        <w:rPr>
          <w:rFonts w:ascii="Times New Roman" w:eastAsia="新細明體" w:hAnsi="新細明體" w:cs="Times New Roman"/>
        </w:rPr>
        <w:t>得</w:t>
      </w:r>
      <w:r w:rsidRPr="00B67EA4">
        <w:rPr>
          <w:rFonts w:ascii="Times New Roman" w:eastAsia="新細明體" w:hAnsi="新細明體" w:cs="Times New Roman"/>
        </w:rPr>
        <w:t>頒布海運貨物相關規定，</w:t>
      </w:r>
      <w:r w:rsidR="00964E71" w:rsidRPr="00B67EA4">
        <w:rPr>
          <w:rFonts w:ascii="Times New Roman" w:eastAsia="新細明體" w:hAnsi="新細明體" w:cs="Times New Roman"/>
        </w:rPr>
        <w:t>並</w:t>
      </w:r>
      <w:r w:rsidRPr="00B67EA4">
        <w:rPr>
          <w:rFonts w:ascii="Times New Roman" w:eastAsia="新細明體" w:hAnsi="新細明體" w:cs="Times New Roman"/>
        </w:rPr>
        <w:t>將海牙威士比規則之條文納入考</w:t>
      </w:r>
      <w:r w:rsidR="00964E71" w:rsidRPr="00B67EA4">
        <w:rPr>
          <w:rFonts w:ascii="Times New Roman" w:eastAsia="新細明體" w:hAnsi="新細明體" w:cs="Times New Roman"/>
        </w:rPr>
        <w:t>量</w:t>
      </w:r>
      <w:r w:rsidRPr="00B67EA4">
        <w:rPr>
          <w:rFonts w:ascii="Times New Roman" w:eastAsia="新細明體" w:hAnsi="新細明體" w:cs="Times New Roman"/>
        </w:rPr>
        <w:t>。</w:t>
      </w:r>
    </w:p>
    <w:p w:rsidR="00534A18" w:rsidRPr="00B67EA4" w:rsidRDefault="00534A18" w:rsidP="006C0E45">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534A18" w:rsidRPr="00B67EA4" w:rsidRDefault="00FD39C6" w:rsidP="006C0E45">
      <w:pPr>
        <w:overflowPunct w:val="0"/>
        <w:adjustRightInd w:val="0"/>
        <w:spacing w:beforeLines="100" w:afterLines="100"/>
        <w:ind w:left="482"/>
        <w:jc w:val="both"/>
        <w:outlineLvl w:val="0"/>
        <w:rPr>
          <w:rFonts w:ascii="Times New Roman" w:eastAsia="新細明體" w:hAnsi="Times New Roman" w:cs="Times New Roman"/>
          <w:sz w:val="19"/>
          <w:szCs w:val="19"/>
        </w:rPr>
      </w:pPr>
      <w:r w:rsidRPr="00B67EA4">
        <w:rPr>
          <w:rFonts w:ascii="Times New Roman" w:eastAsia="新細明體" w:hAnsi="新細明體" w:cs="Times New Roman"/>
          <w:b/>
          <w:bCs/>
          <w:sz w:val="19"/>
          <w:szCs w:val="19"/>
          <w:u w:val="single"/>
        </w:rPr>
        <w:t>資料來源</w:t>
      </w:r>
      <w:r w:rsidRPr="00B67EA4">
        <w:rPr>
          <w:rFonts w:ascii="Times New Roman" w:eastAsia="新細明體" w:hAnsi="新細明體" w:cs="Times New Roman"/>
          <w:b/>
          <w:bCs/>
          <w:sz w:val="19"/>
          <w:szCs w:val="19"/>
        </w:rPr>
        <w:t>：</w:t>
      </w:r>
      <w:proofErr w:type="gramStart"/>
      <w:r w:rsidRPr="00B67EA4">
        <w:rPr>
          <w:rFonts w:ascii="Times New Roman" w:eastAsia="新細明體" w:hAnsi="Times New Roman" w:cs="Times New Roman"/>
          <w:sz w:val="19"/>
          <w:szCs w:val="19"/>
        </w:rPr>
        <w:t>PL 10-76 § 205.</w:t>
      </w:r>
      <w:proofErr w:type="gramEnd"/>
    </w:p>
    <w:p w:rsidR="00534A18" w:rsidRPr="00B67EA4" w:rsidRDefault="00534A18" w:rsidP="006C0E45">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534A18" w:rsidRPr="00B67EA4" w:rsidRDefault="00FD39C6" w:rsidP="006C0E45">
      <w:pPr>
        <w:overflowPunct w:val="0"/>
        <w:adjustRightInd w:val="0"/>
        <w:spacing w:beforeLines="100" w:afterLines="100"/>
        <w:ind w:left="482"/>
        <w:jc w:val="both"/>
        <w:outlineLvl w:val="0"/>
        <w:rPr>
          <w:rFonts w:ascii="Times New Roman" w:eastAsia="新細明體" w:hAnsi="Times New Roman" w:cs="Times New Roman"/>
          <w:sz w:val="19"/>
          <w:szCs w:val="19"/>
        </w:rPr>
      </w:pPr>
      <w:r w:rsidRPr="00B67EA4">
        <w:rPr>
          <w:rFonts w:ascii="Times New Roman" w:eastAsia="新細明體" w:hAnsi="新細明體" w:cs="Times New Roman"/>
          <w:b/>
          <w:bCs/>
          <w:sz w:val="19"/>
          <w:szCs w:val="19"/>
          <w:u w:val="single"/>
        </w:rPr>
        <w:t>交叉參考資料</w:t>
      </w:r>
      <w:r w:rsidRPr="00B67EA4">
        <w:rPr>
          <w:rFonts w:ascii="Times New Roman" w:eastAsia="新細明體" w:hAnsi="新細明體" w:cs="Times New Roman"/>
          <w:b/>
          <w:bCs/>
          <w:sz w:val="19"/>
          <w:szCs w:val="19"/>
        </w:rPr>
        <w:t>：</w:t>
      </w:r>
      <w:r w:rsidRPr="00B67EA4">
        <w:rPr>
          <w:rFonts w:ascii="Times New Roman" w:eastAsia="新細明體" w:hAnsi="新細明體" w:cs="Times New Roman"/>
          <w:sz w:val="19"/>
          <w:szCs w:val="19"/>
        </w:rPr>
        <w:t>關於總統及行政機關的法律條文，請參閱本法典第</w:t>
      </w:r>
      <w:r w:rsidRPr="00B67EA4">
        <w:rPr>
          <w:rFonts w:ascii="Times New Roman" w:eastAsia="新細明體" w:hAnsi="Times New Roman" w:cs="Times New Roman"/>
          <w:sz w:val="19"/>
          <w:szCs w:val="19"/>
        </w:rPr>
        <w:t>2</w:t>
      </w:r>
      <w:r w:rsidRPr="00B67EA4">
        <w:rPr>
          <w:rFonts w:ascii="Times New Roman" w:eastAsia="新細明體" w:hAnsi="新細明體" w:cs="Times New Roman"/>
          <w:sz w:val="19"/>
          <w:szCs w:val="19"/>
        </w:rPr>
        <w:t>篇。關於領土、經濟海域及</w:t>
      </w:r>
      <w:r w:rsidR="00DC15C5" w:rsidRPr="00B67EA4">
        <w:rPr>
          <w:rFonts w:ascii="Times New Roman" w:eastAsia="新細明體" w:hAnsi="新細明體" w:cs="Times New Roman"/>
          <w:sz w:val="19"/>
          <w:szCs w:val="19"/>
        </w:rPr>
        <w:t>進港</w:t>
      </w:r>
      <w:r w:rsidRPr="00B67EA4">
        <w:rPr>
          <w:rFonts w:ascii="Times New Roman" w:eastAsia="新細明體" w:hAnsi="新細明體" w:cs="Times New Roman"/>
          <w:sz w:val="19"/>
          <w:szCs w:val="19"/>
        </w:rPr>
        <w:t>港口的法律條文，請參閱本法典第</w:t>
      </w:r>
      <w:r w:rsidRPr="00B67EA4">
        <w:rPr>
          <w:rFonts w:ascii="Times New Roman" w:eastAsia="新細明體" w:hAnsi="Times New Roman" w:cs="Times New Roman"/>
          <w:sz w:val="19"/>
          <w:szCs w:val="19"/>
        </w:rPr>
        <w:t>18</w:t>
      </w:r>
      <w:r w:rsidRPr="00B67EA4">
        <w:rPr>
          <w:rFonts w:ascii="Times New Roman" w:eastAsia="新細明體" w:hAnsi="新細明體" w:cs="Times New Roman"/>
          <w:sz w:val="19"/>
          <w:szCs w:val="19"/>
        </w:rPr>
        <w:t>篇。</w:t>
      </w:r>
    </w:p>
    <w:p w:rsidR="00534A18" w:rsidRPr="00B67EA4" w:rsidRDefault="00534A18" w:rsidP="006C0E45">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534A18" w:rsidRPr="00B67EA4" w:rsidRDefault="00FD39C6" w:rsidP="006C0E45">
      <w:pPr>
        <w:pStyle w:val="1"/>
        <w:overflowPunct w:val="0"/>
        <w:autoSpaceDE/>
        <w:autoSpaceDN/>
        <w:spacing w:beforeLines="100" w:afterLines="100"/>
        <w:ind w:left="482"/>
        <w:jc w:val="both"/>
        <w:rPr>
          <w:b w:val="0"/>
          <w:bCs w:val="0"/>
        </w:rPr>
      </w:pPr>
      <w:r w:rsidRPr="00B67EA4">
        <w:rPr>
          <w:u w:val="single"/>
        </w:rPr>
        <w:t>§ 1003.</w:t>
      </w:r>
      <w:r w:rsidRPr="00B67EA4">
        <w:rPr>
          <w:rFonts w:hAnsi="新細明體"/>
          <w:u w:val="single"/>
        </w:rPr>
        <w:t>提單。</w:t>
      </w:r>
    </w:p>
    <w:p w:rsidR="00000000" w:rsidRPr="00B67EA4" w:rsidRDefault="00FD39C6" w:rsidP="006C0E45">
      <w:pPr>
        <w:overflowPunct w:val="0"/>
        <w:adjustRightInd w:val="0"/>
        <w:spacing w:beforeLines="100" w:afterLines="100"/>
        <w:ind w:firstLine="482"/>
        <w:jc w:val="both"/>
        <w:outlineLvl w:val="0"/>
        <w:rPr>
          <w:rFonts w:ascii="Times New Roman" w:eastAsia="新細明體" w:hAnsi="Times New Roman" w:cs="Times New Roman"/>
        </w:rPr>
      </w:pPr>
      <w:r w:rsidRPr="00B67EA4">
        <w:rPr>
          <w:rFonts w:ascii="Times New Roman" w:eastAsia="新細明體" w:hAnsi="新細明體" w:cs="Times New Roman"/>
        </w:rPr>
        <w:t>適用本章第</w:t>
      </w:r>
      <w:r w:rsidRPr="00B67EA4">
        <w:rPr>
          <w:rFonts w:ascii="Times New Roman" w:eastAsia="新細明體" w:hAnsi="Times New Roman" w:cs="Times New Roman"/>
        </w:rPr>
        <w:t>1001</w:t>
      </w:r>
      <w:r w:rsidR="001024AB" w:rsidRPr="00B67EA4">
        <w:rPr>
          <w:rFonts w:ascii="Times New Roman" w:eastAsia="新細明體" w:hAnsi="新細明體" w:cs="Times New Roman"/>
        </w:rPr>
        <w:t>節</w:t>
      </w:r>
      <w:r w:rsidRPr="00B67EA4">
        <w:rPr>
          <w:rFonts w:ascii="Times New Roman" w:eastAsia="新細明體" w:hAnsi="新細明體" w:cs="Times New Roman"/>
        </w:rPr>
        <w:t>之所有提單</w:t>
      </w:r>
      <w:r w:rsidR="00964E71" w:rsidRPr="00B67EA4">
        <w:rPr>
          <w:rFonts w:ascii="Times New Roman" w:eastAsia="新細明體" w:hAnsi="新細明體" w:cs="Times New Roman"/>
        </w:rPr>
        <w:t>，</w:t>
      </w:r>
      <w:r w:rsidRPr="00B67EA4">
        <w:rPr>
          <w:rFonts w:ascii="Times New Roman" w:eastAsia="新細明體" w:hAnsi="新細明體" w:cs="Times New Roman"/>
        </w:rPr>
        <w:t>應含有清楚之聲明，表示該提單</w:t>
      </w:r>
      <w:r w:rsidR="00964E71" w:rsidRPr="00B67EA4">
        <w:rPr>
          <w:rFonts w:ascii="Times New Roman" w:eastAsia="新細明體" w:hAnsi="新細明體" w:cs="Times New Roman"/>
        </w:rPr>
        <w:t>係依</w:t>
      </w:r>
      <w:r w:rsidRPr="00B67EA4">
        <w:rPr>
          <w:rFonts w:ascii="Times New Roman" w:eastAsia="新細明體" w:hAnsi="新細明體" w:cs="Times New Roman"/>
        </w:rPr>
        <w:t>海牙威士比規則</w:t>
      </w:r>
      <w:r w:rsidR="00964E71" w:rsidRPr="00B67EA4">
        <w:rPr>
          <w:rFonts w:ascii="Times New Roman" w:eastAsia="新細明體" w:hAnsi="新細明體" w:cs="Times New Roman"/>
        </w:rPr>
        <w:t>所核發</w:t>
      </w:r>
      <w:r w:rsidRPr="00B67EA4">
        <w:rPr>
          <w:rFonts w:ascii="Times New Roman" w:eastAsia="新細明體" w:hAnsi="新細明體" w:cs="Times New Roman"/>
        </w:rPr>
        <w:t>。</w:t>
      </w:r>
    </w:p>
    <w:p w:rsidR="00534A18" w:rsidRPr="00B67EA4" w:rsidRDefault="00534A18" w:rsidP="006C0E45">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534A18" w:rsidRPr="00B67EA4" w:rsidRDefault="00FD39C6" w:rsidP="006C0E45">
      <w:pPr>
        <w:overflowPunct w:val="0"/>
        <w:adjustRightInd w:val="0"/>
        <w:spacing w:beforeLines="100" w:afterLines="100"/>
        <w:ind w:left="482"/>
        <w:jc w:val="both"/>
        <w:outlineLvl w:val="0"/>
        <w:rPr>
          <w:rFonts w:ascii="Times New Roman" w:eastAsia="新細明體" w:hAnsi="Times New Roman" w:cs="Times New Roman"/>
          <w:sz w:val="19"/>
          <w:szCs w:val="19"/>
        </w:rPr>
      </w:pPr>
      <w:r w:rsidRPr="00B67EA4">
        <w:rPr>
          <w:rFonts w:ascii="Times New Roman" w:eastAsia="新細明體" w:hAnsi="新細明體" w:cs="Times New Roman"/>
          <w:b/>
          <w:bCs/>
          <w:sz w:val="19"/>
          <w:szCs w:val="19"/>
          <w:u w:val="single"/>
        </w:rPr>
        <w:t>資料來源</w:t>
      </w:r>
      <w:r w:rsidRPr="00B67EA4">
        <w:rPr>
          <w:rFonts w:ascii="Times New Roman" w:eastAsia="新細明體" w:hAnsi="新細明體" w:cs="Times New Roman"/>
          <w:b/>
          <w:bCs/>
          <w:sz w:val="19"/>
          <w:szCs w:val="19"/>
        </w:rPr>
        <w:t>：</w:t>
      </w:r>
      <w:proofErr w:type="gramStart"/>
      <w:r w:rsidRPr="00B67EA4">
        <w:rPr>
          <w:rFonts w:ascii="Times New Roman" w:eastAsia="新細明體" w:hAnsi="Times New Roman" w:cs="Times New Roman"/>
          <w:sz w:val="19"/>
          <w:szCs w:val="19"/>
        </w:rPr>
        <w:t>PL 10-76 § 206.</w:t>
      </w:r>
      <w:proofErr w:type="gramEnd"/>
    </w:p>
    <w:p w:rsidR="00534A18" w:rsidRPr="00B67EA4" w:rsidRDefault="00534A18" w:rsidP="006C0E45">
      <w:pPr>
        <w:overflowPunct w:val="0"/>
        <w:adjustRightInd w:val="0"/>
        <w:spacing w:beforeLines="100" w:afterLines="100"/>
        <w:ind w:left="482"/>
        <w:jc w:val="both"/>
        <w:outlineLvl w:val="0"/>
        <w:rPr>
          <w:rFonts w:ascii="Times New Roman" w:eastAsia="新細明體" w:hAnsi="Times New Roman" w:cs="Times New Roman"/>
          <w:sz w:val="2"/>
          <w:szCs w:val="2"/>
        </w:rPr>
      </w:pPr>
      <w:r w:rsidRPr="00B67EA4">
        <w:rPr>
          <w:rFonts w:ascii="Times New Roman" w:eastAsia="新細明體" w:hAnsi="Times New Roman" w:cs="Times New Roman"/>
        </w:rPr>
        <w:pict>
          <v:group id="Group 74" o:spid="_x0000_s1027" style="position:absolute;margin-left:0;margin-top:0;width:3.2pt;height:1pt;z-index:251659264;mso-position-horizontal-relative:char;mso-position-vertical-relative:line" coordsize="6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" o:allowincell="f">
            <v:shape id="Freeform 75" o:spid="_x0000_s1028" style="position:absolute;left:7;top:7;width:49;height:20;visibility:visible;mso-wrap-style:square;v-text-anchor:top" coordsize="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zCvsQA&#10;AADcAAAADwAAAGRycy9kb3ducmV2LnhtbERPTWvCQBC9F/wPywi91Y1SRaOrFEVSFaTVUjyO2TEJ&#10;zc6G7DbGf+8Khd7m8T5ntmhNKRqqXWFZQb8XgSBOrS44U/B1XL+MQTiPrLG0TApu5GAx7zzNMNb2&#10;yp/UHHwmQgi7GBXk3lexlC7NyaDr2Yo4cBdbG/QB1pnUNV5DuCnlIIpG0mDBoSHHipY5pT+HX6Pg&#10;st7tlw0lOsnO35uPZHsaRqtXpZ677dsUhKfW/4v/3O86zB9N4PFMuE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3swr7EAAAA3AAAAA8AAAAAAAAAAAAAAAAAmAIAAGRycy9k&#10;b3ducmV2LnhtbFBLBQYAAAAABAAEAPUAAACJAwAAAAA=&#10;" path="m,l48,e" filled="f">
              <v:path arrowok="t" o:connecttype="custom" o:connectlocs="0,0;48,0" o:connectangles="0,0"/>
            </v:shape>
          </v:group>
        </w:pict>
      </w:r>
      <w:r w:rsidRPr="00B67EA4">
        <w:rPr>
          <w:rFonts w:ascii="Times New Roman" w:eastAsia="新細明體" w:hAnsi="Times New Roman" w:cs="Times New Roman"/>
        </w:rPr>
      </w:r>
      <w:r w:rsidRPr="00B67EA4">
        <w:rPr>
          <w:rFonts w:ascii="Times New Roman" w:eastAsia="新細明體" w:hAnsi="Times New Roman" w:cs="Times New Roman"/>
        </w:rPr>
        <w:pict>
          <v:rect id="AutoShape 848" o:spid="_x0000_s1029" style="width:3.25pt;height:.9pt;visibility:visible;mso-position-horizontal-relative:char;mso-position-vertical-relative:line" filled="f" stroked="f">
            <o:lock v:ext="edit" aspectratio="t"/>
            <w10:wrap type="none"/>
            <w10:anchorlock/>
          </v:rect>
        </w:pict>
      </w:r>
    </w:p>
    <w:p w:rsidR="00534A18" w:rsidRPr="00B67EA4" w:rsidRDefault="00FD39C6" w:rsidP="006C0E45">
      <w:pPr>
        <w:pStyle w:val="1"/>
        <w:overflowPunct w:val="0"/>
        <w:autoSpaceDE/>
        <w:autoSpaceDN/>
        <w:spacing w:beforeLines="100" w:afterLines="100"/>
        <w:ind w:left="482"/>
        <w:jc w:val="both"/>
        <w:rPr>
          <w:b w:val="0"/>
          <w:bCs w:val="0"/>
        </w:rPr>
      </w:pPr>
      <w:r w:rsidRPr="00B67EA4">
        <w:rPr>
          <w:u w:val="single"/>
        </w:rPr>
        <w:t>§ 1004.</w:t>
      </w:r>
      <w:r w:rsidRPr="00B67EA4">
        <w:rPr>
          <w:rFonts w:hAnsi="新細明體"/>
          <w:u w:val="single"/>
        </w:rPr>
        <w:t>最高法院對密克羅尼西亞聯邦境內海運貨物之管轄權。</w:t>
      </w:r>
    </w:p>
    <w:p w:rsidR="00534A18" w:rsidRPr="00B67EA4" w:rsidRDefault="00FD39C6" w:rsidP="006C0E45">
      <w:pPr>
        <w:numPr>
          <w:ilvl w:val="0"/>
          <w:numId w:val="4"/>
        </w:numPr>
        <w:overflowPunct w:val="0"/>
        <w:adjustRightInd w:val="0"/>
        <w:spacing w:beforeLines="100" w:afterLines="100"/>
        <w:ind w:left="0" w:firstLine="482"/>
        <w:jc w:val="both"/>
        <w:outlineLvl w:val="0"/>
        <w:rPr>
          <w:rFonts w:ascii="Times New Roman" w:eastAsia="新細明體" w:hAnsi="Times New Roman" w:cs="Times New Roman"/>
        </w:rPr>
      </w:pPr>
      <w:r w:rsidRPr="00B67EA4">
        <w:rPr>
          <w:rFonts w:ascii="Times New Roman" w:eastAsia="新細明體" w:hAnsi="新細明體" w:cs="Times New Roman"/>
        </w:rPr>
        <w:t>從密克羅尼西亞聯邦境內任何地點運送貨物至密克羅尼西亞聯邦境內另一地點之所有提單或其他契約，應根據密克羅尼西亞聯邦法律解釋及執行。</w:t>
      </w:r>
    </w:p>
    <w:p w:rsidR="00534A18" w:rsidRPr="00B67EA4" w:rsidRDefault="00FD39C6" w:rsidP="006C0E45">
      <w:pPr>
        <w:numPr>
          <w:ilvl w:val="0"/>
          <w:numId w:val="4"/>
        </w:numPr>
        <w:overflowPunct w:val="0"/>
        <w:adjustRightInd w:val="0"/>
        <w:spacing w:beforeLines="100" w:afterLines="100"/>
        <w:ind w:left="0" w:firstLine="482"/>
        <w:jc w:val="both"/>
        <w:outlineLvl w:val="0"/>
        <w:rPr>
          <w:rFonts w:ascii="Times New Roman" w:eastAsia="新細明體" w:hAnsi="Times New Roman" w:cs="Times New Roman"/>
        </w:rPr>
      </w:pPr>
      <w:r w:rsidRPr="00B67EA4">
        <w:rPr>
          <w:rFonts w:ascii="Times New Roman" w:eastAsia="新細明體" w:hAnsi="新細明體" w:cs="Times New Roman"/>
        </w:rPr>
        <w:t>對於適用本章第</w:t>
      </w:r>
      <w:r w:rsidRPr="00B67EA4">
        <w:rPr>
          <w:rFonts w:ascii="Times New Roman" w:eastAsia="新細明體" w:hAnsi="Times New Roman" w:cs="Times New Roman"/>
        </w:rPr>
        <w:t>1001</w:t>
      </w:r>
      <w:r w:rsidR="00964E71" w:rsidRPr="00B67EA4">
        <w:rPr>
          <w:rFonts w:ascii="Times New Roman" w:eastAsia="新細明體" w:hAnsi="新細明體" w:cs="Times New Roman"/>
        </w:rPr>
        <w:t>節第</w:t>
      </w:r>
      <w:r w:rsidRPr="00B67EA4">
        <w:rPr>
          <w:rFonts w:ascii="Times New Roman" w:eastAsia="新細明體" w:hAnsi="Times New Roman" w:cs="Times New Roman"/>
        </w:rPr>
        <w:t>(1)</w:t>
      </w:r>
      <w:proofErr w:type="gramStart"/>
      <w:r w:rsidR="00964E71" w:rsidRPr="00B67EA4">
        <w:rPr>
          <w:rFonts w:ascii="Times New Roman" w:eastAsia="新細明體" w:hAnsi="新細明體" w:cs="Times New Roman"/>
        </w:rPr>
        <w:t>子</w:t>
      </w:r>
      <w:r w:rsidR="001024AB" w:rsidRPr="00B67EA4">
        <w:rPr>
          <w:rFonts w:ascii="Times New Roman" w:eastAsia="新細明體" w:hAnsi="新細明體" w:cs="Times New Roman"/>
        </w:rPr>
        <w:t>節</w:t>
      </w:r>
      <w:r w:rsidRPr="00B67EA4">
        <w:rPr>
          <w:rFonts w:ascii="Times New Roman" w:eastAsia="新細明體" w:hAnsi="新細明體" w:cs="Times New Roman"/>
        </w:rPr>
        <w:t>之</w:t>
      </w:r>
      <w:proofErr w:type="gramEnd"/>
      <w:r w:rsidRPr="00B67EA4">
        <w:rPr>
          <w:rFonts w:ascii="Times New Roman" w:eastAsia="新細明體" w:hAnsi="新細明體" w:cs="Times New Roman"/>
        </w:rPr>
        <w:t>所有海運貨物提單及其他契約，最高法院</w:t>
      </w:r>
      <w:r w:rsidR="00534A18" w:rsidRPr="00B67EA4">
        <w:rPr>
          <w:rFonts w:ascii="Times New Roman" w:eastAsia="新細明體" w:hAnsi="新細明體" w:cs="Times New Roman"/>
        </w:rPr>
        <w:t>應</w:t>
      </w:r>
      <w:r w:rsidRPr="00B67EA4">
        <w:rPr>
          <w:rFonts w:ascii="Times New Roman" w:eastAsia="新細明體" w:hAnsi="新細明體" w:cs="Times New Roman"/>
        </w:rPr>
        <w:t>擁有專屬</w:t>
      </w:r>
      <w:r w:rsidR="00964E71" w:rsidRPr="00B67EA4">
        <w:rPr>
          <w:rFonts w:ascii="Times New Roman" w:eastAsia="新細明體" w:hAnsi="新細明體" w:cs="Times New Roman"/>
        </w:rPr>
        <w:t>初審</w:t>
      </w:r>
      <w:r w:rsidRPr="00B67EA4">
        <w:rPr>
          <w:rFonts w:ascii="Times New Roman" w:eastAsia="新細明體" w:hAnsi="新細明體" w:cs="Times New Roman"/>
        </w:rPr>
        <w:t>管轄權。</w:t>
      </w:r>
    </w:p>
    <w:p w:rsidR="00534A18" w:rsidRPr="00B67EA4" w:rsidRDefault="00FD39C6" w:rsidP="006C0E45">
      <w:pPr>
        <w:numPr>
          <w:ilvl w:val="0"/>
          <w:numId w:val="4"/>
        </w:numPr>
        <w:overflowPunct w:val="0"/>
        <w:adjustRightInd w:val="0"/>
        <w:spacing w:beforeLines="100" w:afterLines="100"/>
        <w:ind w:left="0" w:firstLine="482"/>
        <w:jc w:val="both"/>
        <w:outlineLvl w:val="0"/>
        <w:rPr>
          <w:rFonts w:ascii="Times New Roman" w:eastAsia="新細明體" w:hAnsi="Times New Roman" w:cs="Times New Roman"/>
        </w:rPr>
      </w:pPr>
      <w:r w:rsidRPr="00B67EA4">
        <w:rPr>
          <w:rFonts w:ascii="Times New Roman" w:eastAsia="新細明體" w:hAnsi="新細明體" w:cs="Times New Roman"/>
        </w:rPr>
        <w:t>對於適用本章第</w:t>
      </w:r>
      <w:r w:rsidRPr="00B67EA4">
        <w:rPr>
          <w:rFonts w:ascii="Times New Roman" w:eastAsia="新細明體" w:hAnsi="Times New Roman" w:cs="Times New Roman"/>
        </w:rPr>
        <w:t>1001</w:t>
      </w:r>
      <w:r w:rsidR="001024AB" w:rsidRPr="00B67EA4">
        <w:rPr>
          <w:rFonts w:ascii="Times New Roman" w:eastAsia="新細明體" w:hAnsi="新細明體" w:cs="Times New Roman"/>
        </w:rPr>
        <w:t>節</w:t>
      </w:r>
      <w:r w:rsidRPr="00B67EA4">
        <w:rPr>
          <w:rFonts w:ascii="Times New Roman" w:eastAsia="新細明體" w:hAnsi="新細明體" w:cs="Times New Roman"/>
        </w:rPr>
        <w:t>第</w:t>
      </w:r>
      <w:r w:rsidRPr="00B67EA4">
        <w:rPr>
          <w:rFonts w:ascii="Times New Roman" w:eastAsia="新細明體" w:hAnsi="Times New Roman" w:cs="Times New Roman"/>
        </w:rPr>
        <w:t>(2)</w:t>
      </w:r>
      <w:r w:rsidRPr="00B67EA4">
        <w:rPr>
          <w:rFonts w:ascii="Times New Roman" w:eastAsia="新細明體" w:hAnsi="新細明體" w:cs="Times New Roman"/>
        </w:rPr>
        <w:t>及</w:t>
      </w:r>
      <w:r w:rsidRPr="00B67EA4">
        <w:rPr>
          <w:rFonts w:ascii="Times New Roman" w:eastAsia="新細明體" w:hAnsi="Times New Roman" w:cs="Times New Roman"/>
        </w:rPr>
        <w:t>(3)</w:t>
      </w:r>
      <w:proofErr w:type="gramStart"/>
      <w:r w:rsidR="001024AB" w:rsidRPr="00B67EA4">
        <w:rPr>
          <w:rFonts w:ascii="Times New Roman" w:eastAsia="新細明體" w:hAnsi="新細明體" w:cs="Times New Roman"/>
        </w:rPr>
        <w:t>子節</w:t>
      </w:r>
      <w:r w:rsidRPr="00B67EA4">
        <w:rPr>
          <w:rFonts w:ascii="Times New Roman" w:eastAsia="新細明體" w:hAnsi="新細明體" w:cs="Times New Roman"/>
        </w:rPr>
        <w:t>之</w:t>
      </w:r>
      <w:proofErr w:type="gramEnd"/>
      <w:r w:rsidRPr="00B67EA4">
        <w:rPr>
          <w:rFonts w:ascii="Times New Roman" w:eastAsia="新細明體" w:hAnsi="新細明體" w:cs="Times New Roman"/>
        </w:rPr>
        <w:t>所有海運貨物提單及其他契約，最高法院</w:t>
      </w:r>
      <w:r w:rsidR="00534A18" w:rsidRPr="00B67EA4">
        <w:rPr>
          <w:rFonts w:ascii="Times New Roman" w:eastAsia="新細明體" w:hAnsi="新細明體" w:cs="Times New Roman"/>
        </w:rPr>
        <w:t>應</w:t>
      </w:r>
      <w:r w:rsidRPr="00B67EA4">
        <w:rPr>
          <w:rFonts w:ascii="Times New Roman" w:eastAsia="新細明體" w:hAnsi="新細明體" w:cs="Times New Roman"/>
        </w:rPr>
        <w:t>擁有管轄權，且於最高法院提出之任何訴訟應根據密克羅尼西亞聯邦法律解釋及執行。</w:t>
      </w:r>
    </w:p>
    <w:p w:rsidR="00534A18" w:rsidRPr="00B67EA4" w:rsidRDefault="00FD39C6" w:rsidP="006C0E45">
      <w:pPr>
        <w:numPr>
          <w:ilvl w:val="0"/>
          <w:numId w:val="4"/>
        </w:numPr>
        <w:overflowPunct w:val="0"/>
        <w:adjustRightInd w:val="0"/>
        <w:spacing w:beforeLines="100" w:afterLines="100"/>
        <w:ind w:left="0" w:firstLine="482"/>
        <w:jc w:val="both"/>
        <w:outlineLvl w:val="0"/>
        <w:rPr>
          <w:rFonts w:ascii="Times New Roman" w:eastAsia="新細明體" w:hAnsi="Times New Roman" w:cs="Times New Roman"/>
        </w:rPr>
      </w:pPr>
      <w:r w:rsidRPr="00B67EA4">
        <w:rPr>
          <w:rFonts w:ascii="Times New Roman" w:eastAsia="新細明體" w:hAnsi="新細明體" w:cs="Times New Roman"/>
        </w:rPr>
        <w:t>適用本章第</w:t>
      </w:r>
      <w:r w:rsidRPr="00B67EA4">
        <w:rPr>
          <w:rFonts w:ascii="Times New Roman" w:eastAsia="新細明體" w:hAnsi="Times New Roman" w:cs="Times New Roman"/>
        </w:rPr>
        <w:t>1001</w:t>
      </w:r>
      <w:r w:rsidR="001024AB" w:rsidRPr="00B67EA4">
        <w:rPr>
          <w:rFonts w:ascii="Times New Roman" w:eastAsia="新細明體" w:hAnsi="新細明體" w:cs="Times New Roman"/>
        </w:rPr>
        <w:t>節</w:t>
      </w:r>
      <w:r w:rsidRPr="00B67EA4">
        <w:rPr>
          <w:rFonts w:ascii="Times New Roman" w:eastAsia="新細明體" w:hAnsi="新細明體" w:cs="Times New Roman"/>
        </w:rPr>
        <w:t>之任何提單或其他契約</w:t>
      </w:r>
      <w:r w:rsidR="001024AB" w:rsidRPr="00B67EA4">
        <w:rPr>
          <w:rFonts w:ascii="Times New Roman" w:eastAsia="新細明體" w:hAnsi="新細明體" w:cs="Times New Roman"/>
        </w:rPr>
        <w:t>，</w:t>
      </w:r>
      <w:r w:rsidRPr="00B67EA4">
        <w:rPr>
          <w:rFonts w:ascii="Times New Roman" w:eastAsia="新細明體" w:hAnsi="新細明體" w:cs="Times New Roman"/>
        </w:rPr>
        <w:t>若與本</w:t>
      </w:r>
      <w:r w:rsidR="001024AB" w:rsidRPr="00B67EA4">
        <w:rPr>
          <w:rFonts w:ascii="Times New Roman" w:eastAsia="新細明體" w:hAnsi="新細明體" w:cs="Times New Roman"/>
        </w:rPr>
        <w:t>節不符</w:t>
      </w:r>
      <w:r w:rsidR="00964E71" w:rsidRPr="00B67EA4">
        <w:rPr>
          <w:rFonts w:ascii="Times New Roman" w:eastAsia="新細明體" w:hAnsi="新細明體" w:cs="Times New Roman"/>
        </w:rPr>
        <w:t>者，</w:t>
      </w:r>
      <w:r w:rsidRPr="00B67EA4">
        <w:rPr>
          <w:rFonts w:ascii="Times New Roman" w:eastAsia="新細明體" w:hAnsi="新細明體" w:cs="Times New Roman"/>
        </w:rPr>
        <w:t>一概無效。</w:t>
      </w:r>
    </w:p>
    <w:p w:rsidR="00534A18" w:rsidRPr="00B67EA4" w:rsidRDefault="00534A18" w:rsidP="006C0E45">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534A18" w:rsidRPr="00B67EA4" w:rsidRDefault="00FD39C6" w:rsidP="006C0E45">
      <w:pPr>
        <w:overflowPunct w:val="0"/>
        <w:adjustRightInd w:val="0"/>
        <w:spacing w:beforeLines="100" w:afterLines="100"/>
        <w:ind w:left="482"/>
        <w:jc w:val="both"/>
        <w:outlineLvl w:val="0"/>
        <w:rPr>
          <w:rFonts w:ascii="Times New Roman" w:eastAsia="新細明體" w:hAnsi="Times New Roman" w:cs="Times New Roman"/>
          <w:sz w:val="19"/>
          <w:szCs w:val="19"/>
        </w:rPr>
      </w:pPr>
      <w:r w:rsidRPr="00B67EA4">
        <w:rPr>
          <w:rFonts w:ascii="Times New Roman" w:eastAsia="新細明體" w:hAnsi="新細明體" w:cs="Times New Roman"/>
          <w:b/>
          <w:bCs/>
          <w:sz w:val="19"/>
          <w:szCs w:val="19"/>
          <w:u w:val="single"/>
        </w:rPr>
        <w:t>資料來源</w:t>
      </w:r>
      <w:r w:rsidRPr="00B67EA4">
        <w:rPr>
          <w:rFonts w:ascii="Times New Roman" w:eastAsia="新細明體" w:hAnsi="新細明體" w:cs="Times New Roman"/>
          <w:b/>
          <w:bCs/>
          <w:sz w:val="19"/>
          <w:szCs w:val="19"/>
        </w:rPr>
        <w:t>：</w:t>
      </w:r>
      <w:proofErr w:type="gramStart"/>
      <w:r w:rsidRPr="00B67EA4">
        <w:rPr>
          <w:rFonts w:ascii="Times New Roman" w:eastAsia="新細明體" w:hAnsi="Times New Roman" w:cs="Times New Roman"/>
          <w:sz w:val="19"/>
          <w:szCs w:val="19"/>
        </w:rPr>
        <w:t>PL 10-76 § 207.</w:t>
      </w:r>
      <w:proofErr w:type="gramEnd"/>
    </w:p>
    <w:p w:rsidR="00534A18" w:rsidRPr="00B67EA4" w:rsidRDefault="00534A18" w:rsidP="006C0E45">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534A18" w:rsidRPr="00B67EA4" w:rsidRDefault="00FD39C6" w:rsidP="00B67EA4">
      <w:pPr>
        <w:overflowPunct w:val="0"/>
        <w:adjustRightInd w:val="0"/>
        <w:spacing w:beforeLines="100" w:afterLines="100"/>
        <w:ind w:left="482"/>
        <w:jc w:val="both"/>
        <w:outlineLvl w:val="0"/>
        <w:rPr>
          <w:rFonts w:ascii="Times New Roman" w:eastAsia="新細明體" w:hAnsi="Times New Roman" w:cs="Times New Roman"/>
          <w:sz w:val="19"/>
          <w:szCs w:val="19"/>
        </w:rPr>
      </w:pPr>
      <w:r w:rsidRPr="00B67EA4">
        <w:rPr>
          <w:rFonts w:ascii="Times New Roman" w:eastAsia="新細明體" w:hAnsi="新細明體" w:cs="Times New Roman"/>
          <w:b/>
          <w:bCs/>
          <w:sz w:val="19"/>
          <w:szCs w:val="19"/>
          <w:u w:val="single"/>
        </w:rPr>
        <w:t>交叉參考資料</w:t>
      </w:r>
      <w:r w:rsidRPr="00B67EA4">
        <w:rPr>
          <w:rFonts w:ascii="Times New Roman" w:eastAsia="新細明體" w:hAnsi="新細明體" w:cs="Times New Roman"/>
          <w:b/>
          <w:bCs/>
          <w:sz w:val="19"/>
          <w:szCs w:val="19"/>
        </w:rPr>
        <w:t>：</w:t>
      </w:r>
      <w:r w:rsidRPr="00B67EA4">
        <w:rPr>
          <w:rFonts w:ascii="Times New Roman" w:eastAsia="新細明體" w:hAnsi="新細明體" w:cs="Times New Roman"/>
          <w:sz w:val="19"/>
          <w:szCs w:val="19"/>
        </w:rPr>
        <w:t>關於密克羅尼西亞聯邦最高法院及司法機關的法律條文，請參閱本法典第</w:t>
      </w:r>
      <w:r w:rsidRPr="00B67EA4">
        <w:rPr>
          <w:rFonts w:ascii="Times New Roman" w:eastAsia="新細明體" w:hAnsi="Times New Roman" w:cs="Times New Roman"/>
          <w:sz w:val="19"/>
          <w:szCs w:val="19"/>
        </w:rPr>
        <w:t>4</w:t>
      </w:r>
      <w:r w:rsidRPr="00B67EA4">
        <w:rPr>
          <w:rFonts w:ascii="Times New Roman" w:eastAsia="新細明體" w:hAnsi="新細明體" w:cs="Times New Roman"/>
          <w:sz w:val="19"/>
          <w:szCs w:val="19"/>
        </w:rPr>
        <w:t>篇。關於司法程序的法律條文，請參閱本法典第</w:t>
      </w:r>
      <w:r w:rsidRPr="00B67EA4">
        <w:rPr>
          <w:rFonts w:ascii="Times New Roman" w:eastAsia="新細明體" w:hAnsi="Times New Roman" w:cs="Times New Roman"/>
          <w:sz w:val="19"/>
          <w:szCs w:val="19"/>
        </w:rPr>
        <w:t>6</w:t>
      </w:r>
      <w:r w:rsidRPr="00B67EA4">
        <w:rPr>
          <w:rFonts w:ascii="Times New Roman" w:eastAsia="新細明體" w:hAnsi="新細明體" w:cs="Times New Roman"/>
          <w:sz w:val="19"/>
          <w:szCs w:val="19"/>
        </w:rPr>
        <w:t>篇。</w:t>
      </w:r>
    </w:p>
    <w:p w:rsidR="009966C9" w:rsidRPr="006C0E45" w:rsidRDefault="00FD39C6" w:rsidP="00B67EA4">
      <w:pPr>
        <w:overflowPunct w:val="0"/>
        <w:adjustRightInd w:val="0"/>
        <w:spacing w:beforeLines="100" w:afterLines="100"/>
        <w:ind w:left="482"/>
        <w:jc w:val="both"/>
        <w:outlineLvl w:val="0"/>
        <w:rPr>
          <w:rFonts w:ascii="Times New Roman" w:eastAsia="新細明體" w:hAnsi="Times New Roman" w:cs="Times New Roman"/>
        </w:rPr>
      </w:pPr>
      <w:r w:rsidRPr="00B67EA4">
        <w:rPr>
          <w:rFonts w:ascii="Times New Roman" w:eastAsia="新細明體" w:hAnsi="新細明體" w:cs="Times New Roman"/>
          <w:sz w:val="19"/>
          <w:szCs w:val="19"/>
        </w:rPr>
        <w:t>密克羅尼西亞聯邦最高法院網站位址：</w:t>
      </w:r>
      <w:r w:rsidRPr="00B67EA4">
        <w:rPr>
          <w:rFonts w:ascii="Times New Roman" w:eastAsia="新細明體" w:hAnsi="Times New Roman" w:cs="Times New Roman"/>
          <w:color w:val="0000FF"/>
          <w:sz w:val="19"/>
          <w:szCs w:val="19"/>
          <w:u w:val="single"/>
        </w:rPr>
        <w:t>http://www.fsmsupremecourt.org/</w:t>
      </w:r>
      <w:r w:rsidRPr="00B67EA4">
        <w:rPr>
          <w:rFonts w:ascii="Times New Roman" w:eastAsia="新細明體" w:hAnsi="新細明體" w:cs="Times New Roman"/>
          <w:sz w:val="19"/>
          <w:szCs w:val="19"/>
        </w:rPr>
        <w:t>，其中含有該法院之法院裁定、規則、行事曆及其他資訊、憲法、密克羅尼西亞聯邦法典及其他法律資源資訊。</w:t>
      </w:r>
    </w:p>
    <w:sectPr w:rsidR="009966C9" w:rsidRPr="006C0E45"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66C9" w:rsidRDefault="009966C9" w:rsidP="005631D1">
      <w:r>
        <w:separator/>
      </w:r>
    </w:p>
  </w:endnote>
  <w:endnote w:type="continuationSeparator" w:id="0">
    <w:p w:rsidR="009966C9" w:rsidRDefault="009966C9"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66C9" w:rsidRDefault="009966C9" w:rsidP="005631D1">
      <w:r>
        <w:separator/>
      </w:r>
    </w:p>
  </w:footnote>
  <w:footnote w:type="continuationSeparator" w:id="0">
    <w:p w:rsidR="009966C9" w:rsidRDefault="009966C9"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B13E02" w:rsidP="006C0E45">
    <w:pPr>
      <w:pStyle w:val="a3"/>
      <w:spacing w:afterLines="150"/>
      <w:rPr>
        <w:rFonts w:ascii="Times New Roman" w:eastAsia="新細明體" w:hAnsi="Times New Roman" w:cs="Times New Roman"/>
      </w:rPr>
    </w:pPr>
    <w:r>
      <w:rPr>
        <w:rFonts w:ascii="Times New Roman" w:eastAsia="新細明體" w:hAnsi="Times New Roman" w:hint="eastAsia"/>
      </w:rPr>
      <w:t>FSMCode2014Tit19Chap10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68"/>
    <w:multiLevelType w:val="multilevel"/>
    <w:tmpl w:val="000008EB"/>
    <w:lvl w:ilvl="0">
      <w:start w:val="1"/>
      <w:numFmt w:val="decimal"/>
      <w:lvlText w:val="(%1)"/>
      <w:lvlJc w:val="left"/>
      <w:pPr>
        <w:ind w:left="1739" w:hanging="700"/>
      </w:pPr>
      <w:rPr>
        <w:rFonts w:ascii="Times New Roman" w:hAnsi="Times New Roman" w:cs="Times New Roman"/>
        <w:b w:val="0"/>
        <w:bCs w:val="0"/>
        <w:sz w:val="24"/>
        <w:szCs w:val="24"/>
      </w:rPr>
    </w:lvl>
    <w:lvl w:ilvl="1">
      <w:start w:val="1"/>
      <w:numFmt w:val="lowerLetter"/>
      <w:lvlText w:val="(%2)"/>
      <w:lvlJc w:val="left"/>
      <w:pPr>
        <w:ind w:left="2446" w:hanging="687"/>
      </w:pPr>
      <w:rPr>
        <w:rFonts w:ascii="Times New Roman" w:hAnsi="Times New Roman" w:cs="Times New Roman"/>
        <w:b w:val="0"/>
        <w:bCs w:val="0"/>
        <w:sz w:val="24"/>
        <w:szCs w:val="24"/>
      </w:rPr>
    </w:lvl>
    <w:lvl w:ilvl="2">
      <w:numFmt w:val="bullet"/>
      <w:lvlText w:val="•"/>
      <w:lvlJc w:val="left"/>
      <w:pPr>
        <w:ind w:left="3510" w:hanging="687"/>
      </w:pPr>
    </w:lvl>
    <w:lvl w:ilvl="3">
      <w:numFmt w:val="bullet"/>
      <w:lvlText w:val="•"/>
      <w:lvlJc w:val="left"/>
      <w:pPr>
        <w:ind w:left="4573" w:hanging="687"/>
      </w:pPr>
    </w:lvl>
    <w:lvl w:ilvl="4">
      <w:numFmt w:val="bullet"/>
      <w:lvlText w:val="•"/>
      <w:lvlJc w:val="left"/>
      <w:pPr>
        <w:ind w:left="5637" w:hanging="687"/>
      </w:pPr>
    </w:lvl>
    <w:lvl w:ilvl="5">
      <w:numFmt w:val="bullet"/>
      <w:lvlText w:val="•"/>
      <w:lvlJc w:val="left"/>
      <w:pPr>
        <w:ind w:left="6701" w:hanging="687"/>
      </w:pPr>
    </w:lvl>
    <w:lvl w:ilvl="6">
      <w:numFmt w:val="bullet"/>
      <w:lvlText w:val="•"/>
      <w:lvlJc w:val="left"/>
      <w:pPr>
        <w:ind w:left="7765" w:hanging="687"/>
      </w:pPr>
    </w:lvl>
    <w:lvl w:ilvl="7">
      <w:numFmt w:val="bullet"/>
      <w:lvlText w:val="•"/>
      <w:lvlJc w:val="left"/>
      <w:pPr>
        <w:ind w:left="8828" w:hanging="687"/>
      </w:pPr>
    </w:lvl>
    <w:lvl w:ilvl="8">
      <w:numFmt w:val="bullet"/>
      <w:lvlText w:val="•"/>
      <w:lvlJc w:val="left"/>
      <w:pPr>
        <w:ind w:left="9892" w:hanging="687"/>
      </w:pPr>
    </w:lvl>
  </w:abstractNum>
  <w:abstractNum w:abstractNumId="4">
    <w:nsid w:val="00000469"/>
    <w:multiLevelType w:val="multilevel"/>
    <w:tmpl w:val="000008EC"/>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num w:numId="1">
    <w:abstractNumId w:val="2"/>
  </w:num>
  <w:num w:numId="2">
    <w:abstractNumId w:val="1"/>
  </w:num>
  <w:num w:numId="3">
    <w:abstractNumId w:val="0"/>
  </w:num>
  <w:num w:numId="4">
    <w:abstractNumId w:val="4"/>
  </w:num>
  <w:num w:numId="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16074"/>
    <w:rsid w:val="00080B56"/>
    <w:rsid w:val="00086370"/>
    <w:rsid w:val="000B136C"/>
    <w:rsid w:val="001024AB"/>
    <w:rsid w:val="00122491"/>
    <w:rsid w:val="00131529"/>
    <w:rsid w:val="00157133"/>
    <w:rsid w:val="001732E7"/>
    <w:rsid w:val="00191301"/>
    <w:rsid w:val="001B3F70"/>
    <w:rsid w:val="001E2A30"/>
    <w:rsid w:val="001F3C80"/>
    <w:rsid w:val="002202E2"/>
    <w:rsid w:val="002E0886"/>
    <w:rsid w:val="002F0635"/>
    <w:rsid w:val="002F761F"/>
    <w:rsid w:val="00360398"/>
    <w:rsid w:val="00366184"/>
    <w:rsid w:val="003B6DCF"/>
    <w:rsid w:val="003D26C4"/>
    <w:rsid w:val="00465B1E"/>
    <w:rsid w:val="00483DBD"/>
    <w:rsid w:val="00497F69"/>
    <w:rsid w:val="004E0C0F"/>
    <w:rsid w:val="004F081F"/>
    <w:rsid w:val="00527901"/>
    <w:rsid w:val="00534A18"/>
    <w:rsid w:val="00536E70"/>
    <w:rsid w:val="0054749F"/>
    <w:rsid w:val="00557872"/>
    <w:rsid w:val="005631D1"/>
    <w:rsid w:val="005A7116"/>
    <w:rsid w:val="005B0963"/>
    <w:rsid w:val="005D057B"/>
    <w:rsid w:val="005F7DC8"/>
    <w:rsid w:val="00686C0F"/>
    <w:rsid w:val="006C0E45"/>
    <w:rsid w:val="006C28C4"/>
    <w:rsid w:val="006F1223"/>
    <w:rsid w:val="00750F23"/>
    <w:rsid w:val="00760296"/>
    <w:rsid w:val="00794BDC"/>
    <w:rsid w:val="007D242F"/>
    <w:rsid w:val="007F2BE4"/>
    <w:rsid w:val="007F4EB7"/>
    <w:rsid w:val="00817ABA"/>
    <w:rsid w:val="00836908"/>
    <w:rsid w:val="008414C3"/>
    <w:rsid w:val="00860BEE"/>
    <w:rsid w:val="008930A3"/>
    <w:rsid w:val="008C04D4"/>
    <w:rsid w:val="008E4D91"/>
    <w:rsid w:val="008F197F"/>
    <w:rsid w:val="008F636C"/>
    <w:rsid w:val="00920E26"/>
    <w:rsid w:val="00964E71"/>
    <w:rsid w:val="009966C9"/>
    <w:rsid w:val="009D19A4"/>
    <w:rsid w:val="00A253FB"/>
    <w:rsid w:val="00A27564"/>
    <w:rsid w:val="00A6744E"/>
    <w:rsid w:val="00A978ED"/>
    <w:rsid w:val="00AE4034"/>
    <w:rsid w:val="00AF3EA0"/>
    <w:rsid w:val="00AF785D"/>
    <w:rsid w:val="00B13E02"/>
    <w:rsid w:val="00B168CF"/>
    <w:rsid w:val="00B3013D"/>
    <w:rsid w:val="00B42781"/>
    <w:rsid w:val="00B55560"/>
    <w:rsid w:val="00B67EA4"/>
    <w:rsid w:val="00BF3973"/>
    <w:rsid w:val="00BF65FC"/>
    <w:rsid w:val="00C00EAD"/>
    <w:rsid w:val="00C52948"/>
    <w:rsid w:val="00C80C24"/>
    <w:rsid w:val="00C8752B"/>
    <w:rsid w:val="00C97078"/>
    <w:rsid w:val="00D10FCE"/>
    <w:rsid w:val="00D12AE0"/>
    <w:rsid w:val="00D508F8"/>
    <w:rsid w:val="00DC15C5"/>
    <w:rsid w:val="00EA439C"/>
    <w:rsid w:val="00EB09A9"/>
    <w:rsid w:val="00ED41E0"/>
    <w:rsid w:val="00F017DA"/>
    <w:rsid w:val="00F046D3"/>
    <w:rsid w:val="00F102A7"/>
    <w:rsid w:val="00F56A09"/>
    <w:rsid w:val="00FC7F7F"/>
    <w:rsid w:val="00FD1AAD"/>
    <w:rsid w:val="00FD39C6"/>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1024AB"/>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1024AB"/>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F118D4-F3B0-4D6A-A87D-15F82A59C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207</Words>
  <Characters>1186</Characters>
  <Application>Microsoft Office Word</Application>
  <DocSecurity>0</DocSecurity>
  <Lines>9</Lines>
  <Paragraphs>2</Paragraphs>
  <ScaleCrop>false</ScaleCrop>
  <Company>Hewlett-Packard Company</Company>
  <LinksUpToDate>false</LinksUpToDate>
  <CharactersWithSpaces>1391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dcterms:created xsi:type="dcterms:W3CDTF">2017-12-19T08:26:00Z</dcterms:created>
  <dcterms:modified xsi:type="dcterms:W3CDTF">2017-12-19T08:26:00Z</dcterms:modified>
</cp:coreProperties>
</file>